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A1D303" w14:textId="77777777" w:rsidR="002C6640" w:rsidRPr="00024DB4" w:rsidRDefault="002C6640" w:rsidP="002C6640">
      <w:pPr>
        <w:spacing w:after="0" w:line="240" w:lineRule="auto"/>
        <w:jc w:val="both"/>
        <w:textAlignment w:val="baseline"/>
        <w:rPr>
          <w:rFonts w:eastAsia="Times New Roman" w:cstheme="minorHAnsi"/>
          <w:b/>
          <w:color w:val="000000"/>
          <w:sz w:val="24"/>
          <w:szCs w:val="24"/>
          <w:bdr w:val="none" w:sz="0" w:space="0" w:color="auto" w:frame="1"/>
          <w:lang w:eastAsia="es-SV"/>
        </w:rPr>
      </w:pPr>
    </w:p>
    <w:p w14:paraId="5D28F760" w14:textId="68EA8CF5" w:rsidR="002C6640" w:rsidRPr="00926F89" w:rsidRDefault="00555DBF" w:rsidP="002C6640">
      <w:pPr>
        <w:spacing w:after="0" w:line="240" w:lineRule="auto"/>
        <w:jc w:val="center"/>
        <w:textAlignment w:val="baseline"/>
        <w:rPr>
          <w:rFonts w:eastAsia="Times New Roman" w:cstheme="minorHAnsi"/>
          <w:b/>
          <w:color w:val="000000"/>
          <w:sz w:val="32"/>
          <w:szCs w:val="32"/>
          <w:bdr w:val="none" w:sz="0" w:space="0" w:color="auto" w:frame="1"/>
          <w:lang w:eastAsia="es-SV"/>
        </w:rPr>
      </w:pPr>
      <w:r w:rsidRPr="00926F89">
        <w:rPr>
          <w:rFonts w:eastAsia="Times New Roman" w:cstheme="minorHAnsi"/>
          <w:b/>
          <w:color w:val="000000"/>
          <w:sz w:val="36"/>
          <w:szCs w:val="36"/>
          <w:bdr w:val="none" w:sz="0" w:space="0" w:color="auto" w:frame="1"/>
          <w:lang w:eastAsia="es-SV"/>
        </w:rPr>
        <w:t>T</w:t>
      </w:r>
      <w:r w:rsidR="002C6640" w:rsidRPr="00926F89">
        <w:rPr>
          <w:rFonts w:eastAsia="Times New Roman" w:cstheme="minorHAnsi"/>
          <w:b/>
          <w:color w:val="000000"/>
          <w:sz w:val="36"/>
          <w:szCs w:val="36"/>
          <w:bdr w:val="none" w:sz="0" w:space="0" w:color="auto" w:frame="1"/>
          <w:lang w:eastAsia="es-SV"/>
        </w:rPr>
        <w:t>rabajadoras de la fábrica Florenzi exigen pronta y cumplida justicia</w:t>
      </w:r>
    </w:p>
    <w:p w14:paraId="07A6FD30" w14:textId="77777777" w:rsidR="002C6640" w:rsidRPr="005B0555" w:rsidRDefault="002C6640" w:rsidP="002C6640">
      <w:pPr>
        <w:spacing w:after="0" w:line="240" w:lineRule="auto"/>
        <w:jc w:val="both"/>
        <w:textAlignment w:val="baseline"/>
        <w:rPr>
          <w:rFonts w:eastAsia="Times New Roman" w:cstheme="minorHAnsi"/>
          <w:color w:val="000000"/>
          <w:lang w:eastAsia="es-SV"/>
        </w:rPr>
      </w:pPr>
    </w:p>
    <w:p w14:paraId="2C4BCFB7" w14:textId="464AA534" w:rsidR="002C6640" w:rsidRPr="00EB6019" w:rsidRDefault="00177764" w:rsidP="002C6640">
      <w:pPr>
        <w:spacing w:after="0" w:line="240" w:lineRule="auto"/>
        <w:jc w:val="both"/>
        <w:textAlignment w:val="baseline"/>
        <w:rPr>
          <w:rFonts w:eastAsia="Times New Roman" w:cstheme="minorHAnsi"/>
          <w:color w:val="000000"/>
          <w:sz w:val="23"/>
          <w:szCs w:val="23"/>
          <w:bdr w:val="none" w:sz="0" w:space="0" w:color="auto" w:frame="1"/>
          <w:lang w:eastAsia="es-SV"/>
        </w:rPr>
      </w:pPr>
      <w:r>
        <w:rPr>
          <w:rFonts w:eastAsia="Times New Roman" w:cstheme="minorHAnsi"/>
          <w:color w:val="000000"/>
          <w:sz w:val="23"/>
          <w:szCs w:val="23"/>
          <w:bdr w:val="none" w:sz="0" w:space="0" w:color="auto" w:frame="1"/>
          <w:lang w:eastAsia="es-SV"/>
        </w:rPr>
        <w:t>En enero de 2020,</w:t>
      </w:r>
      <w:r w:rsidR="002C6640" w:rsidRPr="00EB6019">
        <w:rPr>
          <w:rFonts w:eastAsia="Times New Roman" w:cstheme="minorHAnsi"/>
          <w:color w:val="000000"/>
          <w:sz w:val="23"/>
          <w:szCs w:val="23"/>
          <w:bdr w:val="none" w:sz="0" w:space="0" w:color="auto" w:frame="1"/>
          <w:lang w:eastAsia="es-SV"/>
        </w:rPr>
        <w:t xml:space="preserve"> trabajadoras de la Fábrica Industri</w:t>
      </w:r>
      <w:r>
        <w:rPr>
          <w:rFonts w:eastAsia="Times New Roman" w:cstheme="minorHAnsi"/>
          <w:color w:val="000000"/>
          <w:sz w:val="23"/>
          <w:szCs w:val="23"/>
          <w:bdr w:val="none" w:sz="0" w:space="0" w:color="auto" w:frame="1"/>
          <w:lang w:eastAsia="es-SV"/>
        </w:rPr>
        <w:t>as Florenzi S.A de C.V,</w:t>
      </w:r>
      <w:r w:rsidR="002C6640" w:rsidRPr="00EB6019">
        <w:rPr>
          <w:rFonts w:eastAsia="Times New Roman" w:cstheme="minorHAnsi"/>
          <w:color w:val="000000"/>
          <w:sz w:val="23"/>
          <w:szCs w:val="23"/>
          <w:bdr w:val="none" w:sz="0" w:space="0" w:color="auto" w:frame="1"/>
          <w:lang w:eastAsia="es-SV"/>
        </w:rPr>
        <w:t xml:space="preserve"> </w:t>
      </w:r>
      <w:r>
        <w:rPr>
          <w:rFonts w:eastAsia="Times New Roman" w:cstheme="minorHAnsi"/>
          <w:color w:val="000000"/>
          <w:sz w:val="23"/>
          <w:szCs w:val="23"/>
          <w:bdr w:val="none" w:sz="0" w:space="0" w:color="auto" w:frame="1"/>
          <w:lang w:eastAsia="es-SV"/>
        </w:rPr>
        <w:t>iniciaron</w:t>
      </w:r>
      <w:r w:rsidR="002C6640" w:rsidRPr="00EB6019">
        <w:rPr>
          <w:rFonts w:eastAsia="Times New Roman" w:cstheme="minorHAnsi"/>
          <w:color w:val="000000"/>
          <w:sz w:val="23"/>
          <w:szCs w:val="23"/>
          <w:bdr w:val="none" w:sz="0" w:space="0" w:color="auto" w:frame="1"/>
          <w:lang w:eastAsia="es-SV"/>
        </w:rPr>
        <w:t xml:space="preserve"> una huelga de hambre y diferentes acciones,</w:t>
      </w:r>
      <w:r>
        <w:rPr>
          <w:rFonts w:eastAsia="Times New Roman" w:cstheme="minorHAnsi"/>
          <w:color w:val="000000"/>
          <w:sz w:val="23"/>
          <w:szCs w:val="23"/>
          <w:bdr w:val="none" w:sz="0" w:space="0" w:color="auto" w:frame="1"/>
          <w:lang w:eastAsia="es-SV"/>
        </w:rPr>
        <w:t xml:space="preserve"> </w:t>
      </w:r>
      <w:r w:rsidR="002C6640" w:rsidRPr="00EB6019">
        <w:rPr>
          <w:rFonts w:eastAsia="Times New Roman" w:cstheme="minorHAnsi"/>
          <w:color w:val="000000"/>
          <w:sz w:val="23"/>
          <w:szCs w:val="23"/>
          <w:bdr w:val="none" w:sz="0" w:space="0" w:color="auto" w:frame="1"/>
          <w:lang w:eastAsia="es-SV"/>
        </w:rPr>
        <w:t xml:space="preserve">para hacer valer sus derechos laborales y una respuesta oportuna ante la difícil situación que afrontan a siete meses del cierre irregular de la empresa. </w:t>
      </w:r>
    </w:p>
    <w:p w14:paraId="736C5893" w14:textId="77777777" w:rsidR="002C6640" w:rsidRPr="00EB6019" w:rsidRDefault="002C6640" w:rsidP="002C6640">
      <w:pPr>
        <w:spacing w:after="0" w:line="240" w:lineRule="auto"/>
        <w:jc w:val="both"/>
        <w:textAlignment w:val="baseline"/>
        <w:rPr>
          <w:rFonts w:eastAsia="Times New Roman" w:cstheme="minorHAnsi"/>
          <w:color w:val="000000"/>
          <w:sz w:val="23"/>
          <w:szCs w:val="23"/>
          <w:bdr w:val="none" w:sz="0" w:space="0" w:color="auto" w:frame="1"/>
          <w:lang w:eastAsia="es-SV"/>
        </w:rPr>
      </w:pPr>
    </w:p>
    <w:p w14:paraId="1E8EE8FB" w14:textId="6EF4E618" w:rsidR="002C6640" w:rsidRPr="00EB6019" w:rsidRDefault="002C6640" w:rsidP="002C6640">
      <w:pPr>
        <w:spacing w:after="0" w:line="240" w:lineRule="auto"/>
        <w:jc w:val="both"/>
        <w:textAlignment w:val="baseline"/>
        <w:rPr>
          <w:rFonts w:eastAsia="Times New Roman" w:cstheme="minorHAnsi"/>
          <w:color w:val="000000"/>
          <w:sz w:val="23"/>
          <w:szCs w:val="23"/>
          <w:bdr w:val="none" w:sz="0" w:space="0" w:color="auto" w:frame="1"/>
          <w:lang w:eastAsia="es-SV"/>
        </w:rPr>
      </w:pPr>
      <w:r w:rsidRPr="00EB6019">
        <w:rPr>
          <w:rFonts w:eastAsia="Times New Roman" w:cstheme="minorHAnsi"/>
          <w:color w:val="000000"/>
          <w:sz w:val="23"/>
          <w:szCs w:val="23"/>
          <w:bdr w:val="none" w:sz="0" w:space="0" w:color="auto" w:frame="1"/>
          <w:lang w:eastAsia="es-SV"/>
        </w:rPr>
        <w:t>Las trabajadoras demandan a las distintas instituciones del Estado, acciones concretas para agilizar los procesos judiciales iniciados desde julio 2020, después que 210 personas fueran despedidas de la maquila Industrias Florenzi, ubicada en Soyapango. También pid</w:t>
      </w:r>
      <w:r w:rsidR="00177764">
        <w:rPr>
          <w:rFonts w:eastAsia="Times New Roman" w:cstheme="minorHAnsi"/>
          <w:color w:val="000000"/>
          <w:sz w:val="23"/>
          <w:szCs w:val="23"/>
          <w:bdr w:val="none" w:sz="0" w:space="0" w:color="auto" w:frame="1"/>
          <w:lang w:eastAsia="es-SV"/>
        </w:rPr>
        <w:t>ieron</w:t>
      </w:r>
      <w:r w:rsidRPr="00EB6019">
        <w:rPr>
          <w:rFonts w:eastAsia="Times New Roman" w:cstheme="minorHAnsi"/>
          <w:color w:val="000000"/>
          <w:sz w:val="23"/>
          <w:szCs w:val="23"/>
          <w:bdr w:val="none" w:sz="0" w:space="0" w:color="auto" w:frame="1"/>
          <w:lang w:eastAsia="es-SV"/>
        </w:rPr>
        <w:t xml:space="preserve"> la actuación oportuna de las distintas instituciones, de acuerdo con sus competencias: Procuraduría General de la Rep</w:t>
      </w:r>
      <w:r w:rsidR="00C27393" w:rsidRPr="00EB6019">
        <w:rPr>
          <w:rFonts w:eastAsia="Times New Roman" w:cstheme="minorHAnsi"/>
          <w:color w:val="000000"/>
          <w:sz w:val="23"/>
          <w:szCs w:val="23"/>
          <w:bdr w:val="none" w:sz="0" w:space="0" w:color="auto" w:frame="1"/>
          <w:lang w:eastAsia="es-SV"/>
        </w:rPr>
        <w:t>ú</w:t>
      </w:r>
      <w:r w:rsidRPr="00EB6019">
        <w:rPr>
          <w:rFonts w:eastAsia="Times New Roman" w:cstheme="minorHAnsi"/>
          <w:color w:val="000000"/>
          <w:sz w:val="23"/>
          <w:szCs w:val="23"/>
          <w:bdr w:val="none" w:sz="0" w:space="0" w:color="auto" w:frame="1"/>
          <w:lang w:eastAsia="es-SV"/>
        </w:rPr>
        <w:t xml:space="preserve">blica, Fiscalía General de la República, Presidencia de la República, Ministerio de Trabajo y Previsión Social, Ministerio de Hacienda, Ministerio de Economía, Instituto Salvadoreño del Seguro Social y Alcaldía Municipal de Soyapango. </w:t>
      </w:r>
    </w:p>
    <w:p w14:paraId="6B8C961C" w14:textId="77777777" w:rsidR="002C6640" w:rsidRPr="00EB6019" w:rsidRDefault="002C6640" w:rsidP="002C6640">
      <w:pPr>
        <w:spacing w:after="0" w:line="240" w:lineRule="auto"/>
        <w:jc w:val="both"/>
        <w:textAlignment w:val="baseline"/>
        <w:rPr>
          <w:rFonts w:eastAsia="Times New Roman" w:cstheme="minorHAnsi"/>
          <w:color w:val="000000"/>
          <w:sz w:val="23"/>
          <w:szCs w:val="23"/>
          <w:bdr w:val="none" w:sz="0" w:space="0" w:color="auto" w:frame="1"/>
          <w:lang w:eastAsia="es-SV"/>
        </w:rPr>
      </w:pPr>
    </w:p>
    <w:p w14:paraId="0B67A178" w14:textId="41F5CBEB" w:rsidR="002C6640" w:rsidRPr="00EB6019" w:rsidRDefault="002C6640" w:rsidP="002C6640">
      <w:pPr>
        <w:spacing w:after="0" w:line="240" w:lineRule="auto"/>
        <w:jc w:val="both"/>
        <w:textAlignment w:val="baseline"/>
        <w:rPr>
          <w:rFonts w:eastAsia="Times New Roman" w:cstheme="minorHAnsi"/>
          <w:color w:val="000000"/>
          <w:sz w:val="23"/>
          <w:szCs w:val="23"/>
          <w:bdr w:val="none" w:sz="0" w:space="0" w:color="auto" w:frame="1"/>
          <w:lang w:eastAsia="es-SV"/>
        </w:rPr>
      </w:pPr>
      <w:r w:rsidRPr="00EB6019">
        <w:rPr>
          <w:rFonts w:eastAsia="Times New Roman" w:cstheme="minorHAnsi"/>
          <w:color w:val="000000"/>
          <w:sz w:val="23"/>
          <w:szCs w:val="23"/>
          <w:bdr w:val="none" w:sz="0" w:space="0" w:color="auto" w:frame="1"/>
          <w:lang w:eastAsia="es-SV"/>
        </w:rPr>
        <w:t xml:space="preserve">Previo a la huelga de hambre, las trabajadoras realizaron diversas acciones como cierres de calles, concentraciones, conferencias de prensa, como medidas de presión para obtener mayor celeridad en sus procesos, ya que aseguran que no se han decretado las medidas cautelares solicitadas para la protección de sus prestaciones laborales.  “En el momento, en que nuestros abogados presentan nuestras denuncias y la vinculación de la razón social, cada quien ha tenido diferentes criterios para rebotarnos pruebas y eso ha venido dilatando el proceso, a pesar que según la Ley de Zona Francas tienen cinco días para poder resolver; esos cinco días para nosotros se han llegado a siete meses”, expresó al Observatorio Económico Laboral de ORMUSA, una de las afectadas. </w:t>
      </w:r>
    </w:p>
    <w:p w14:paraId="21AA1E49" w14:textId="77777777" w:rsidR="002C6640" w:rsidRPr="00EB6019" w:rsidRDefault="002C6640" w:rsidP="002C6640">
      <w:pPr>
        <w:spacing w:after="0" w:line="240" w:lineRule="auto"/>
        <w:jc w:val="both"/>
        <w:textAlignment w:val="baseline"/>
        <w:rPr>
          <w:rFonts w:eastAsia="Times New Roman" w:cstheme="minorHAnsi"/>
          <w:color w:val="000000"/>
          <w:sz w:val="23"/>
          <w:szCs w:val="23"/>
          <w:bdr w:val="none" w:sz="0" w:space="0" w:color="auto" w:frame="1"/>
          <w:lang w:eastAsia="es-SV"/>
        </w:rPr>
      </w:pPr>
    </w:p>
    <w:p w14:paraId="16589802" w14:textId="77777777" w:rsidR="002C6640" w:rsidRPr="00EB6019" w:rsidRDefault="002C6640" w:rsidP="002C6640">
      <w:pPr>
        <w:spacing w:after="0" w:line="240" w:lineRule="auto"/>
        <w:jc w:val="both"/>
        <w:textAlignment w:val="baseline"/>
        <w:rPr>
          <w:rFonts w:eastAsia="Times New Roman" w:cstheme="minorHAnsi"/>
          <w:color w:val="000000"/>
          <w:sz w:val="23"/>
          <w:szCs w:val="23"/>
          <w:bdr w:val="none" w:sz="0" w:space="0" w:color="auto" w:frame="1"/>
          <w:lang w:eastAsia="es-SV"/>
        </w:rPr>
      </w:pPr>
      <w:r w:rsidRPr="00EB6019">
        <w:rPr>
          <w:rFonts w:eastAsia="Times New Roman" w:cstheme="minorHAnsi"/>
          <w:color w:val="000000"/>
          <w:sz w:val="23"/>
          <w:szCs w:val="23"/>
          <w:bdr w:val="none" w:sz="0" w:space="0" w:color="auto" w:frame="1"/>
          <w:lang w:eastAsia="es-SV"/>
        </w:rPr>
        <w:t>“Para nosotras es cansado física y psicológicamente, esto nos ha afectado mucho, pero tenemos la fuerza para seguir diciéndole al Estado y al gobierno, las situaciones en las que nos tienen. Nosotras hemos tenido la gallardía de pelear en medio de la pandemia porque (en la fábrica) se han robado nuestras pensiones, nuestras cuotas del Seguro Social, eso ha venido a afectarnos más nuestras condiciones de salud, algunas compañeras tienen enfermedades crónicas. También hemos sido discriminadas por la edad y no hemos podido tener acceso a un nuevo empleo en una empresa”.</w:t>
      </w:r>
    </w:p>
    <w:p w14:paraId="5FCC551F" w14:textId="77777777" w:rsidR="002C6640" w:rsidRPr="00EB6019" w:rsidRDefault="002C6640" w:rsidP="002C6640">
      <w:pPr>
        <w:spacing w:after="0" w:line="240" w:lineRule="auto"/>
        <w:jc w:val="both"/>
        <w:textAlignment w:val="baseline"/>
        <w:rPr>
          <w:rFonts w:eastAsia="Times New Roman" w:cstheme="minorHAnsi"/>
          <w:color w:val="000000"/>
          <w:sz w:val="23"/>
          <w:szCs w:val="23"/>
          <w:bdr w:val="none" w:sz="0" w:space="0" w:color="auto" w:frame="1"/>
          <w:lang w:eastAsia="es-SV"/>
        </w:rPr>
      </w:pPr>
    </w:p>
    <w:p w14:paraId="3CEA82A5" w14:textId="77777777" w:rsidR="002C6640" w:rsidRPr="00EB6019" w:rsidRDefault="002C6640" w:rsidP="002C6640">
      <w:pPr>
        <w:spacing w:after="0" w:line="240" w:lineRule="auto"/>
        <w:jc w:val="both"/>
        <w:textAlignment w:val="baseline"/>
        <w:rPr>
          <w:rFonts w:eastAsia="Times New Roman" w:cstheme="minorHAnsi"/>
          <w:color w:val="000000"/>
          <w:sz w:val="23"/>
          <w:szCs w:val="23"/>
          <w:bdr w:val="none" w:sz="0" w:space="0" w:color="auto" w:frame="1"/>
          <w:lang w:eastAsia="es-SV"/>
        </w:rPr>
      </w:pPr>
      <w:r w:rsidRPr="00EB6019">
        <w:rPr>
          <w:rFonts w:eastAsia="Times New Roman" w:cstheme="minorHAnsi"/>
          <w:color w:val="000000"/>
          <w:sz w:val="23"/>
          <w:szCs w:val="23"/>
          <w:bdr w:val="none" w:sz="0" w:space="0" w:color="auto" w:frame="1"/>
          <w:lang w:eastAsia="es-SV"/>
        </w:rPr>
        <w:t xml:space="preserve">Agregan: “No estamos pidiendo algo que no nos pertenece, estamos pidiendo lo que hemos ganado por años. Aquí hay compañeras que están exigiendo su pasivo laboral porque han estado laborando en esta empresa por más de 25 años, 20 años o por lo menos 10 años. Yo estoy dispuesta a dar mi vida por mis compañeras y compañeros hasta que se haga justicia. Me mueve la injusticia, sé que, de esta lucha, va a quedar un buen precedente histórico”.      </w:t>
      </w:r>
    </w:p>
    <w:p w14:paraId="0BA2BB80" w14:textId="77777777" w:rsidR="002C6640" w:rsidRPr="00EB6019" w:rsidRDefault="002C6640" w:rsidP="002C6640">
      <w:pPr>
        <w:spacing w:after="0" w:line="240" w:lineRule="auto"/>
        <w:jc w:val="both"/>
        <w:textAlignment w:val="baseline"/>
        <w:rPr>
          <w:rFonts w:eastAsia="Times New Roman" w:cstheme="minorHAnsi"/>
          <w:color w:val="000000"/>
          <w:sz w:val="23"/>
          <w:szCs w:val="23"/>
          <w:bdr w:val="none" w:sz="0" w:space="0" w:color="auto" w:frame="1"/>
          <w:lang w:eastAsia="es-SV"/>
        </w:rPr>
      </w:pPr>
    </w:p>
    <w:p w14:paraId="7CFFE2E1" w14:textId="1B852894" w:rsidR="002C6640" w:rsidRPr="00EB6019" w:rsidRDefault="002C6640" w:rsidP="002C6640">
      <w:pPr>
        <w:spacing w:after="0" w:line="240" w:lineRule="auto"/>
        <w:jc w:val="both"/>
        <w:textAlignment w:val="baseline"/>
        <w:rPr>
          <w:rFonts w:eastAsia="Times New Roman" w:cstheme="minorHAnsi"/>
          <w:color w:val="000000"/>
          <w:sz w:val="23"/>
          <w:szCs w:val="23"/>
          <w:bdr w:val="none" w:sz="0" w:space="0" w:color="auto" w:frame="1"/>
          <w:lang w:eastAsia="es-SV"/>
        </w:rPr>
      </w:pPr>
      <w:r w:rsidRPr="00EB6019">
        <w:rPr>
          <w:rFonts w:eastAsia="Times New Roman" w:cstheme="minorHAnsi"/>
          <w:color w:val="000000"/>
          <w:sz w:val="23"/>
          <w:szCs w:val="23"/>
          <w:bdr w:val="none" w:sz="0" w:space="0" w:color="auto" w:frame="1"/>
          <w:lang w:eastAsia="es-SV"/>
        </w:rPr>
        <w:t>La empresa Florenzi acumulaba denuncias desde el año 2015, por malos tratos, acoso laboral, acoso sexual, condiciones inadecuadas de trabajo, entre otras irregularidades. Lo anterior, sumado a la precaria situación de las afectadas, en su mayoría mujeres, ilustra la urgente necesidad de impulsar las siguientes reformas y/o acciones para prevenir situaciones similares a futuro:</w:t>
      </w:r>
    </w:p>
    <w:p w14:paraId="7FAFD994" w14:textId="77777777" w:rsidR="002C6640" w:rsidRPr="00EB6019" w:rsidRDefault="002C6640" w:rsidP="002C6640">
      <w:pPr>
        <w:spacing w:after="0" w:line="240" w:lineRule="auto"/>
        <w:jc w:val="both"/>
        <w:textAlignment w:val="baseline"/>
        <w:rPr>
          <w:rFonts w:eastAsia="Times New Roman" w:cstheme="minorHAnsi"/>
          <w:color w:val="000000"/>
          <w:sz w:val="23"/>
          <w:szCs w:val="23"/>
          <w:bdr w:val="none" w:sz="0" w:space="0" w:color="auto" w:frame="1"/>
          <w:lang w:eastAsia="es-SV"/>
        </w:rPr>
      </w:pPr>
      <w:r w:rsidRPr="00EB6019">
        <w:rPr>
          <w:rFonts w:eastAsia="Times New Roman" w:cstheme="minorHAnsi"/>
          <w:color w:val="000000"/>
          <w:sz w:val="23"/>
          <w:szCs w:val="23"/>
          <w:bdr w:val="none" w:sz="0" w:space="0" w:color="auto" w:frame="1"/>
          <w:lang w:eastAsia="es-SV"/>
        </w:rPr>
        <w:t xml:space="preserve"> </w:t>
      </w:r>
    </w:p>
    <w:p w14:paraId="183B0F1C" w14:textId="77777777" w:rsidR="002C6640" w:rsidRPr="00EB6019" w:rsidRDefault="002C6640" w:rsidP="002C6640">
      <w:pPr>
        <w:pStyle w:val="Prrafodelista"/>
        <w:numPr>
          <w:ilvl w:val="0"/>
          <w:numId w:val="1"/>
        </w:numPr>
        <w:spacing w:after="0" w:line="240" w:lineRule="auto"/>
        <w:jc w:val="both"/>
        <w:textAlignment w:val="baseline"/>
        <w:rPr>
          <w:rFonts w:eastAsia="Times New Roman" w:cstheme="minorHAnsi"/>
          <w:color w:val="000000"/>
          <w:sz w:val="23"/>
          <w:szCs w:val="23"/>
          <w:bdr w:val="none" w:sz="0" w:space="0" w:color="auto" w:frame="1"/>
          <w:lang w:eastAsia="es-SV"/>
        </w:rPr>
      </w:pPr>
      <w:r w:rsidRPr="00EB6019">
        <w:rPr>
          <w:rFonts w:eastAsia="Times New Roman" w:cstheme="minorHAnsi"/>
          <w:color w:val="000000"/>
          <w:sz w:val="23"/>
          <w:szCs w:val="23"/>
          <w:bdr w:val="none" w:sz="0" w:space="0" w:color="auto" w:frame="1"/>
          <w:lang w:eastAsia="es-SV"/>
        </w:rPr>
        <w:t>Reducir la mora en los juzgados de lo laboral y brindar mayor celeridad a los procesos judiciales y administrativos de las personas que demandan la protección de sus derechos laborales y el tutelaje de derechos fundamentales a través de un procedimiento expedito.</w:t>
      </w:r>
    </w:p>
    <w:p w14:paraId="2CBF60E4" w14:textId="77777777" w:rsidR="002C6640" w:rsidRPr="00EB6019" w:rsidRDefault="002C6640" w:rsidP="002C6640">
      <w:pPr>
        <w:pStyle w:val="Prrafodelista"/>
        <w:spacing w:after="0" w:line="240" w:lineRule="auto"/>
        <w:ind w:left="1080"/>
        <w:jc w:val="both"/>
        <w:textAlignment w:val="baseline"/>
        <w:rPr>
          <w:rFonts w:eastAsia="Times New Roman" w:cstheme="minorHAnsi"/>
          <w:color w:val="000000"/>
          <w:sz w:val="23"/>
          <w:szCs w:val="23"/>
          <w:bdr w:val="none" w:sz="0" w:space="0" w:color="auto" w:frame="1"/>
          <w:lang w:eastAsia="es-SV"/>
        </w:rPr>
      </w:pPr>
    </w:p>
    <w:p w14:paraId="44F4DBC0" w14:textId="100E9CC0" w:rsidR="002C6640" w:rsidRPr="00EB6019" w:rsidRDefault="002C6640" w:rsidP="002C6640">
      <w:pPr>
        <w:pStyle w:val="Prrafodelista"/>
        <w:numPr>
          <w:ilvl w:val="0"/>
          <w:numId w:val="1"/>
        </w:numPr>
        <w:spacing w:after="0" w:line="240" w:lineRule="auto"/>
        <w:jc w:val="both"/>
        <w:textAlignment w:val="baseline"/>
        <w:rPr>
          <w:rFonts w:eastAsia="Times New Roman" w:cstheme="minorHAnsi"/>
          <w:color w:val="000000"/>
          <w:sz w:val="23"/>
          <w:szCs w:val="23"/>
          <w:bdr w:val="none" w:sz="0" w:space="0" w:color="auto" w:frame="1"/>
          <w:lang w:eastAsia="es-SV"/>
        </w:rPr>
      </w:pPr>
      <w:r w:rsidRPr="00EB6019">
        <w:rPr>
          <w:rFonts w:eastAsia="Times New Roman" w:cstheme="minorHAnsi"/>
          <w:color w:val="000000"/>
          <w:sz w:val="23"/>
          <w:szCs w:val="23"/>
          <w:bdr w:val="none" w:sz="0" w:space="0" w:color="auto" w:frame="1"/>
          <w:lang w:val="es-ES" w:eastAsia="es-SV"/>
        </w:rPr>
        <w:t>Revisar los procesos de sanción y recuperación por apropiación de cuotas laborales del ISSS y de AFP. Según datos de la Fiscalía General de la República, e</w:t>
      </w:r>
      <w:r w:rsidRPr="00EB6019">
        <w:rPr>
          <w:rFonts w:eastAsia="Times New Roman" w:cstheme="minorHAnsi"/>
          <w:color w:val="000000"/>
          <w:sz w:val="23"/>
          <w:szCs w:val="23"/>
          <w:bdr w:val="none" w:sz="0" w:space="0" w:color="auto" w:frame="1"/>
          <w:lang w:val="es-ES"/>
        </w:rPr>
        <w:t xml:space="preserve">n el periodo 2014-2019, se presentó a la justicia un </w:t>
      </w:r>
      <w:r w:rsidRPr="00EB6019">
        <w:rPr>
          <w:rFonts w:eastAsia="Times New Roman" w:cstheme="minorHAnsi"/>
          <w:color w:val="000000"/>
          <w:sz w:val="23"/>
          <w:szCs w:val="23"/>
          <w:bdr w:val="none" w:sz="0" w:space="0" w:color="auto" w:frame="1"/>
          <w:lang w:val="es-ES"/>
        </w:rPr>
        <w:lastRenderedPageBreak/>
        <w:t>aproximado de 877 personas acusadas o imputadas por el delito de apropiación o retención ilegal de cuotas laborales, afecta</w:t>
      </w:r>
      <w:r w:rsidR="009A1508" w:rsidRPr="00EB6019">
        <w:rPr>
          <w:rFonts w:eastAsia="Times New Roman" w:cstheme="minorHAnsi"/>
          <w:color w:val="000000"/>
          <w:sz w:val="23"/>
          <w:szCs w:val="23"/>
          <w:bdr w:val="none" w:sz="0" w:space="0" w:color="auto" w:frame="1"/>
          <w:lang w:val="es-ES"/>
        </w:rPr>
        <w:t>n</w:t>
      </w:r>
      <w:r w:rsidRPr="00EB6019">
        <w:rPr>
          <w:rFonts w:eastAsia="Times New Roman" w:cstheme="minorHAnsi"/>
          <w:color w:val="000000"/>
          <w:sz w:val="23"/>
          <w:szCs w:val="23"/>
          <w:bdr w:val="none" w:sz="0" w:space="0" w:color="auto" w:frame="1"/>
          <w:lang w:val="es-ES"/>
        </w:rPr>
        <w:t>do alrededor de 8,078 personas.</w:t>
      </w:r>
      <w:r w:rsidRPr="00EB6019">
        <w:rPr>
          <w:rStyle w:val="Refdenotaalpie"/>
          <w:rFonts w:eastAsia="Times New Roman" w:cstheme="minorHAnsi"/>
          <w:color w:val="000000"/>
          <w:sz w:val="23"/>
          <w:szCs w:val="23"/>
          <w:bdr w:val="none" w:sz="0" w:space="0" w:color="auto" w:frame="1"/>
          <w:lang w:val="es-ES"/>
        </w:rPr>
        <w:footnoteReference w:id="1"/>
      </w:r>
    </w:p>
    <w:p w14:paraId="009F3530" w14:textId="77777777" w:rsidR="002C6640" w:rsidRPr="005B0555" w:rsidRDefault="002C6640" w:rsidP="002C6640">
      <w:pPr>
        <w:spacing w:after="0" w:line="240" w:lineRule="auto"/>
        <w:ind w:left="360"/>
        <w:jc w:val="both"/>
        <w:textAlignment w:val="baseline"/>
        <w:rPr>
          <w:rFonts w:eastAsia="Times New Roman" w:cstheme="minorHAnsi"/>
          <w:color w:val="000000"/>
          <w:bdr w:val="none" w:sz="0" w:space="0" w:color="auto" w:frame="1"/>
          <w:lang w:eastAsia="es-SV"/>
        </w:rPr>
      </w:pPr>
    </w:p>
    <w:tbl>
      <w:tblPr>
        <w:tblStyle w:val="Tabladecuadrcula2-nfasis1"/>
        <w:tblW w:w="949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750"/>
        <w:gridCol w:w="1106"/>
        <w:gridCol w:w="1107"/>
        <w:gridCol w:w="1107"/>
        <w:gridCol w:w="1107"/>
        <w:gridCol w:w="1117"/>
        <w:gridCol w:w="1293"/>
      </w:tblGrid>
      <w:tr w:rsidR="00AA28C2" w:rsidRPr="00666FAC" w14:paraId="72D70BEB" w14:textId="77777777" w:rsidTr="00323519">
        <w:trPr>
          <w:cnfStyle w:val="100000000000" w:firstRow="1" w:lastRow="0" w:firstColumn="0" w:lastColumn="0" w:oddVBand="0" w:evenVBand="0" w:oddHBand="0" w:evenHBand="0" w:firstRowFirstColumn="0" w:firstRowLastColumn="0" w:lastRowFirstColumn="0" w:lastRowLastColumn="0"/>
          <w:trHeight w:val="272"/>
          <w:jc w:val="right"/>
        </w:trPr>
        <w:tc>
          <w:tcPr>
            <w:cnfStyle w:val="001000000000" w:firstRow="0" w:lastRow="0" w:firstColumn="1" w:lastColumn="0" w:oddVBand="0" w:evenVBand="0" w:oddHBand="0" w:evenHBand="0" w:firstRowFirstColumn="0" w:firstRowLastColumn="0" w:lastRowFirstColumn="0" w:lastRowLastColumn="0"/>
            <w:tcW w:w="9498" w:type="dxa"/>
            <w:gridSpan w:val="8"/>
            <w:tcBorders>
              <w:top w:val="none" w:sz="0" w:space="0" w:color="auto"/>
              <w:bottom w:val="none" w:sz="0" w:space="0" w:color="auto"/>
            </w:tcBorders>
            <w:hideMark/>
          </w:tcPr>
          <w:p w14:paraId="2E830156" w14:textId="77777777" w:rsidR="00AA28C2" w:rsidRPr="00666FAC" w:rsidRDefault="00AA28C2" w:rsidP="00323519">
            <w:pPr>
              <w:spacing w:after="0" w:line="240" w:lineRule="auto"/>
              <w:jc w:val="center"/>
              <w:rPr>
                <w:rFonts w:eastAsia="Times New Roman" w:cstheme="minorHAnsi"/>
                <w:color w:val="FFFFFF"/>
                <w:sz w:val="20"/>
                <w:szCs w:val="20"/>
                <w:lang w:eastAsia="es-SV"/>
              </w:rPr>
            </w:pPr>
            <w:r w:rsidRPr="00666FAC">
              <w:rPr>
                <w:rFonts w:eastAsia="Times New Roman" w:cstheme="minorHAnsi"/>
                <w:sz w:val="20"/>
                <w:szCs w:val="20"/>
                <w:lang w:eastAsia="es-SV"/>
              </w:rPr>
              <w:t>Víctimas del delito de apropiación o retención de cuotas laborales, según sexo, El Salvador, período 2014-2019.</w:t>
            </w:r>
          </w:p>
        </w:tc>
      </w:tr>
      <w:tr w:rsidR="00AA28C2" w:rsidRPr="00666FAC" w14:paraId="26134014" w14:textId="77777777" w:rsidTr="00323519">
        <w:trPr>
          <w:cnfStyle w:val="000000100000" w:firstRow="0" w:lastRow="0" w:firstColumn="0" w:lastColumn="0" w:oddVBand="0" w:evenVBand="0" w:oddHBand="1" w:evenHBand="0" w:firstRowFirstColumn="0" w:firstRowLastColumn="0" w:lastRowFirstColumn="0" w:lastRowLastColumn="0"/>
          <w:trHeight w:val="141"/>
          <w:jc w:val="right"/>
        </w:trPr>
        <w:tc>
          <w:tcPr>
            <w:cnfStyle w:val="001000000000" w:firstRow="0" w:lastRow="0" w:firstColumn="1" w:lastColumn="0" w:oddVBand="0" w:evenVBand="0" w:oddHBand="0" w:evenHBand="0" w:firstRowFirstColumn="0" w:firstRowLastColumn="0" w:lastRowFirstColumn="0" w:lastRowLastColumn="0"/>
            <w:tcW w:w="1911" w:type="dxa"/>
            <w:hideMark/>
          </w:tcPr>
          <w:p w14:paraId="3EF121BE" w14:textId="77777777" w:rsidR="00AA28C2" w:rsidRPr="009F5B01" w:rsidRDefault="00AA28C2" w:rsidP="00323519">
            <w:pPr>
              <w:spacing w:after="0" w:line="240" w:lineRule="auto"/>
              <w:jc w:val="center"/>
              <w:rPr>
                <w:rFonts w:eastAsia="Times New Roman" w:cstheme="minorHAnsi"/>
                <w:color w:val="000000"/>
                <w:sz w:val="20"/>
                <w:szCs w:val="20"/>
                <w:lang w:eastAsia="es-SV"/>
              </w:rPr>
            </w:pPr>
            <w:r w:rsidRPr="009F5B01">
              <w:rPr>
                <w:rFonts w:eastAsia="Times New Roman" w:cstheme="minorHAnsi"/>
                <w:color w:val="000000"/>
                <w:sz w:val="20"/>
                <w:szCs w:val="20"/>
                <w:lang w:eastAsia="es-SV"/>
              </w:rPr>
              <w:t>Sexo</w:t>
            </w:r>
          </w:p>
        </w:tc>
        <w:tc>
          <w:tcPr>
            <w:tcW w:w="750" w:type="dxa"/>
            <w:hideMark/>
          </w:tcPr>
          <w:p w14:paraId="43A85B1A" w14:textId="77777777" w:rsidR="00AA28C2" w:rsidRPr="009F5B01" w:rsidRDefault="00AA28C2" w:rsidP="0032351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eastAsia="es-SV"/>
              </w:rPr>
            </w:pPr>
            <w:r w:rsidRPr="009F5B01">
              <w:rPr>
                <w:rFonts w:eastAsia="Times New Roman" w:cstheme="minorHAnsi"/>
                <w:b/>
                <w:bCs/>
                <w:color w:val="000000"/>
                <w:sz w:val="20"/>
                <w:szCs w:val="20"/>
                <w:lang w:eastAsia="es-SV"/>
              </w:rPr>
              <w:t>2014</w:t>
            </w:r>
          </w:p>
        </w:tc>
        <w:tc>
          <w:tcPr>
            <w:tcW w:w="1106" w:type="dxa"/>
            <w:hideMark/>
          </w:tcPr>
          <w:p w14:paraId="2CBBCF8F" w14:textId="77777777" w:rsidR="00AA28C2" w:rsidRPr="009F5B01" w:rsidRDefault="00AA28C2" w:rsidP="0032351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eastAsia="es-SV"/>
              </w:rPr>
            </w:pPr>
            <w:r w:rsidRPr="009F5B01">
              <w:rPr>
                <w:rFonts w:eastAsia="Times New Roman" w:cstheme="minorHAnsi"/>
                <w:b/>
                <w:bCs/>
                <w:color w:val="000000"/>
                <w:sz w:val="20"/>
                <w:szCs w:val="20"/>
                <w:lang w:eastAsia="es-SV"/>
              </w:rPr>
              <w:t>2015</w:t>
            </w:r>
          </w:p>
        </w:tc>
        <w:tc>
          <w:tcPr>
            <w:tcW w:w="1107" w:type="dxa"/>
            <w:hideMark/>
          </w:tcPr>
          <w:p w14:paraId="3C1675FE" w14:textId="77777777" w:rsidR="00AA28C2" w:rsidRPr="009F5B01" w:rsidRDefault="00AA28C2" w:rsidP="0032351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eastAsia="es-SV"/>
              </w:rPr>
            </w:pPr>
            <w:r w:rsidRPr="009F5B01">
              <w:rPr>
                <w:rFonts w:eastAsia="Times New Roman" w:cstheme="minorHAnsi"/>
                <w:b/>
                <w:bCs/>
                <w:color w:val="000000"/>
                <w:sz w:val="20"/>
                <w:szCs w:val="20"/>
                <w:lang w:eastAsia="es-SV"/>
              </w:rPr>
              <w:t>2016</w:t>
            </w:r>
          </w:p>
        </w:tc>
        <w:tc>
          <w:tcPr>
            <w:tcW w:w="1107" w:type="dxa"/>
            <w:hideMark/>
          </w:tcPr>
          <w:p w14:paraId="44B97155" w14:textId="77777777" w:rsidR="00AA28C2" w:rsidRPr="009F5B01" w:rsidRDefault="00AA28C2" w:rsidP="0032351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eastAsia="es-SV"/>
              </w:rPr>
            </w:pPr>
            <w:r w:rsidRPr="009F5B01">
              <w:rPr>
                <w:rFonts w:eastAsia="Times New Roman" w:cstheme="minorHAnsi"/>
                <w:b/>
                <w:bCs/>
                <w:color w:val="000000"/>
                <w:sz w:val="20"/>
                <w:szCs w:val="20"/>
                <w:lang w:eastAsia="es-SV"/>
              </w:rPr>
              <w:t>2017</w:t>
            </w:r>
          </w:p>
        </w:tc>
        <w:tc>
          <w:tcPr>
            <w:tcW w:w="1107" w:type="dxa"/>
            <w:hideMark/>
          </w:tcPr>
          <w:p w14:paraId="193D9E7A" w14:textId="77777777" w:rsidR="00AA28C2" w:rsidRPr="009F5B01" w:rsidRDefault="00AA28C2" w:rsidP="0032351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eastAsia="es-SV"/>
              </w:rPr>
            </w:pPr>
            <w:r w:rsidRPr="009F5B01">
              <w:rPr>
                <w:rFonts w:eastAsia="Times New Roman" w:cstheme="minorHAnsi"/>
                <w:b/>
                <w:bCs/>
                <w:color w:val="000000"/>
                <w:sz w:val="20"/>
                <w:szCs w:val="20"/>
                <w:lang w:eastAsia="es-SV"/>
              </w:rPr>
              <w:t>2018</w:t>
            </w:r>
          </w:p>
        </w:tc>
        <w:tc>
          <w:tcPr>
            <w:tcW w:w="1117" w:type="dxa"/>
            <w:hideMark/>
          </w:tcPr>
          <w:p w14:paraId="6BF56491" w14:textId="77777777" w:rsidR="00AA28C2" w:rsidRPr="009F5B01" w:rsidRDefault="00AA28C2" w:rsidP="0032351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eastAsia="es-SV"/>
              </w:rPr>
            </w:pPr>
            <w:r w:rsidRPr="009F5B01">
              <w:rPr>
                <w:rFonts w:eastAsia="Times New Roman" w:cstheme="minorHAnsi"/>
                <w:b/>
                <w:bCs/>
                <w:color w:val="000000"/>
                <w:sz w:val="20"/>
                <w:szCs w:val="20"/>
                <w:lang w:eastAsia="es-SV"/>
              </w:rPr>
              <w:t>2019</w:t>
            </w:r>
          </w:p>
        </w:tc>
        <w:tc>
          <w:tcPr>
            <w:tcW w:w="1293" w:type="dxa"/>
            <w:noWrap/>
            <w:hideMark/>
          </w:tcPr>
          <w:p w14:paraId="401FFBFF" w14:textId="77777777" w:rsidR="00AA28C2" w:rsidRPr="009F5B01" w:rsidRDefault="00AA28C2" w:rsidP="00323519">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eastAsia="es-SV"/>
              </w:rPr>
            </w:pPr>
            <w:r w:rsidRPr="009F5B01">
              <w:rPr>
                <w:rFonts w:eastAsia="Times New Roman" w:cstheme="minorHAnsi"/>
                <w:b/>
                <w:bCs/>
                <w:color w:val="000000"/>
                <w:sz w:val="20"/>
                <w:szCs w:val="20"/>
                <w:lang w:eastAsia="es-SV"/>
              </w:rPr>
              <w:t>Total</w:t>
            </w:r>
          </w:p>
        </w:tc>
      </w:tr>
      <w:tr w:rsidR="00AA28C2" w:rsidRPr="00666FAC" w14:paraId="51D1270C" w14:textId="77777777" w:rsidTr="00323519">
        <w:trPr>
          <w:trHeight w:val="141"/>
          <w:jc w:val="right"/>
        </w:trPr>
        <w:tc>
          <w:tcPr>
            <w:cnfStyle w:val="001000000000" w:firstRow="0" w:lastRow="0" w:firstColumn="1" w:lastColumn="0" w:oddVBand="0" w:evenVBand="0" w:oddHBand="0" w:evenHBand="0" w:firstRowFirstColumn="0" w:firstRowLastColumn="0" w:lastRowFirstColumn="0" w:lastRowLastColumn="0"/>
            <w:tcW w:w="1911" w:type="dxa"/>
            <w:hideMark/>
          </w:tcPr>
          <w:p w14:paraId="4B8DFBF5" w14:textId="77777777" w:rsidR="00AA28C2" w:rsidRPr="00666FAC" w:rsidRDefault="00AA28C2" w:rsidP="00323519">
            <w:pPr>
              <w:spacing w:after="0" w:line="240" w:lineRule="auto"/>
              <w:jc w:val="both"/>
              <w:rPr>
                <w:rFonts w:eastAsia="Times New Roman" w:cstheme="minorHAnsi"/>
                <w:b w:val="0"/>
                <w:bCs w:val="0"/>
                <w:color w:val="000000"/>
                <w:sz w:val="20"/>
                <w:szCs w:val="20"/>
                <w:lang w:eastAsia="es-SV"/>
              </w:rPr>
            </w:pPr>
            <w:r w:rsidRPr="00666FAC">
              <w:rPr>
                <w:rFonts w:eastAsia="Times New Roman" w:cstheme="minorHAnsi"/>
                <w:b w:val="0"/>
                <w:bCs w:val="0"/>
                <w:color w:val="000000"/>
                <w:sz w:val="20"/>
                <w:szCs w:val="20"/>
                <w:lang w:eastAsia="es-SV"/>
              </w:rPr>
              <w:t xml:space="preserve">Hombre </w:t>
            </w:r>
          </w:p>
        </w:tc>
        <w:tc>
          <w:tcPr>
            <w:tcW w:w="750" w:type="dxa"/>
            <w:hideMark/>
          </w:tcPr>
          <w:p w14:paraId="2107C4CA" w14:textId="77777777" w:rsidR="00AA28C2" w:rsidRPr="00666FAC" w:rsidRDefault="00AA28C2" w:rsidP="0032351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SV"/>
              </w:rPr>
            </w:pPr>
            <w:r w:rsidRPr="00666FAC">
              <w:rPr>
                <w:rFonts w:eastAsia="Times New Roman" w:cstheme="minorHAnsi"/>
                <w:color w:val="000000"/>
                <w:sz w:val="20"/>
                <w:szCs w:val="20"/>
                <w:lang w:eastAsia="es-SV"/>
              </w:rPr>
              <w:t>606</w:t>
            </w:r>
          </w:p>
        </w:tc>
        <w:tc>
          <w:tcPr>
            <w:tcW w:w="1106" w:type="dxa"/>
            <w:hideMark/>
          </w:tcPr>
          <w:p w14:paraId="42154A9B" w14:textId="77777777" w:rsidR="00AA28C2" w:rsidRPr="00666FAC" w:rsidRDefault="00AA28C2" w:rsidP="0032351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SV"/>
              </w:rPr>
            </w:pPr>
            <w:r w:rsidRPr="00666FAC">
              <w:rPr>
                <w:rFonts w:eastAsia="Times New Roman" w:cstheme="minorHAnsi"/>
                <w:color w:val="000000"/>
                <w:sz w:val="20"/>
                <w:szCs w:val="20"/>
                <w:lang w:eastAsia="es-SV"/>
              </w:rPr>
              <w:t>368</w:t>
            </w:r>
          </w:p>
        </w:tc>
        <w:tc>
          <w:tcPr>
            <w:tcW w:w="1107" w:type="dxa"/>
            <w:hideMark/>
          </w:tcPr>
          <w:p w14:paraId="45DBF240" w14:textId="77777777" w:rsidR="00AA28C2" w:rsidRPr="00666FAC" w:rsidRDefault="00AA28C2" w:rsidP="0032351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SV"/>
              </w:rPr>
            </w:pPr>
            <w:r w:rsidRPr="00666FAC">
              <w:rPr>
                <w:rFonts w:eastAsia="Times New Roman" w:cstheme="minorHAnsi"/>
                <w:color w:val="000000"/>
                <w:sz w:val="20"/>
                <w:szCs w:val="20"/>
                <w:lang w:eastAsia="es-SV"/>
              </w:rPr>
              <w:t>390</w:t>
            </w:r>
          </w:p>
        </w:tc>
        <w:tc>
          <w:tcPr>
            <w:tcW w:w="1107" w:type="dxa"/>
            <w:hideMark/>
          </w:tcPr>
          <w:p w14:paraId="21E96834" w14:textId="77777777" w:rsidR="00AA28C2" w:rsidRPr="00666FAC" w:rsidRDefault="00AA28C2" w:rsidP="0032351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SV"/>
              </w:rPr>
            </w:pPr>
            <w:r w:rsidRPr="00666FAC">
              <w:rPr>
                <w:rFonts w:eastAsia="Times New Roman" w:cstheme="minorHAnsi"/>
                <w:color w:val="000000"/>
                <w:sz w:val="20"/>
                <w:szCs w:val="20"/>
                <w:lang w:eastAsia="es-SV"/>
              </w:rPr>
              <w:t>599</w:t>
            </w:r>
          </w:p>
        </w:tc>
        <w:tc>
          <w:tcPr>
            <w:tcW w:w="1107" w:type="dxa"/>
            <w:hideMark/>
          </w:tcPr>
          <w:p w14:paraId="124F5C66" w14:textId="77777777" w:rsidR="00AA28C2" w:rsidRPr="00666FAC" w:rsidRDefault="00AA28C2" w:rsidP="0032351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SV"/>
              </w:rPr>
            </w:pPr>
            <w:r w:rsidRPr="00666FAC">
              <w:rPr>
                <w:rFonts w:eastAsia="Times New Roman" w:cstheme="minorHAnsi"/>
                <w:color w:val="000000"/>
                <w:sz w:val="20"/>
                <w:szCs w:val="20"/>
                <w:lang w:eastAsia="es-SV"/>
              </w:rPr>
              <w:t>1166</w:t>
            </w:r>
          </w:p>
        </w:tc>
        <w:tc>
          <w:tcPr>
            <w:tcW w:w="1117" w:type="dxa"/>
            <w:hideMark/>
          </w:tcPr>
          <w:p w14:paraId="09986FCD" w14:textId="77777777" w:rsidR="00AA28C2" w:rsidRPr="00666FAC" w:rsidRDefault="00AA28C2" w:rsidP="0032351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SV"/>
              </w:rPr>
            </w:pPr>
            <w:r w:rsidRPr="00666FAC">
              <w:rPr>
                <w:rFonts w:eastAsia="Times New Roman" w:cstheme="minorHAnsi"/>
                <w:color w:val="000000"/>
                <w:sz w:val="20"/>
                <w:szCs w:val="20"/>
                <w:lang w:eastAsia="es-SV"/>
              </w:rPr>
              <w:t>505</w:t>
            </w:r>
          </w:p>
        </w:tc>
        <w:tc>
          <w:tcPr>
            <w:tcW w:w="1293" w:type="dxa"/>
            <w:noWrap/>
            <w:hideMark/>
          </w:tcPr>
          <w:p w14:paraId="3805CE89" w14:textId="77777777" w:rsidR="00AA28C2" w:rsidRPr="00666FAC" w:rsidRDefault="00AA28C2" w:rsidP="0032351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SV"/>
              </w:rPr>
            </w:pPr>
            <w:r w:rsidRPr="00666FAC">
              <w:rPr>
                <w:rFonts w:eastAsia="Times New Roman" w:cstheme="minorHAnsi"/>
                <w:color w:val="000000"/>
                <w:sz w:val="20"/>
                <w:szCs w:val="20"/>
                <w:lang w:eastAsia="es-SV"/>
              </w:rPr>
              <w:t>3634</w:t>
            </w:r>
          </w:p>
        </w:tc>
      </w:tr>
      <w:tr w:rsidR="00AA28C2" w:rsidRPr="00666FAC" w14:paraId="3A3F96C8" w14:textId="77777777" w:rsidTr="00323519">
        <w:trPr>
          <w:cnfStyle w:val="000000100000" w:firstRow="0" w:lastRow="0" w:firstColumn="0" w:lastColumn="0" w:oddVBand="0" w:evenVBand="0" w:oddHBand="1" w:evenHBand="0" w:firstRowFirstColumn="0" w:firstRowLastColumn="0" w:lastRowFirstColumn="0" w:lastRowLastColumn="0"/>
          <w:trHeight w:val="141"/>
          <w:jc w:val="right"/>
        </w:trPr>
        <w:tc>
          <w:tcPr>
            <w:cnfStyle w:val="001000000000" w:firstRow="0" w:lastRow="0" w:firstColumn="1" w:lastColumn="0" w:oddVBand="0" w:evenVBand="0" w:oddHBand="0" w:evenHBand="0" w:firstRowFirstColumn="0" w:firstRowLastColumn="0" w:lastRowFirstColumn="0" w:lastRowLastColumn="0"/>
            <w:tcW w:w="1911" w:type="dxa"/>
            <w:hideMark/>
          </w:tcPr>
          <w:p w14:paraId="5FD3E9EC" w14:textId="77777777" w:rsidR="00AA28C2" w:rsidRPr="00666FAC" w:rsidRDefault="00AA28C2" w:rsidP="00323519">
            <w:pPr>
              <w:spacing w:after="0" w:line="240" w:lineRule="auto"/>
              <w:jc w:val="both"/>
              <w:rPr>
                <w:rFonts w:eastAsia="Times New Roman" w:cstheme="minorHAnsi"/>
                <w:b w:val="0"/>
                <w:bCs w:val="0"/>
                <w:color w:val="000000"/>
                <w:sz w:val="20"/>
                <w:szCs w:val="20"/>
                <w:lang w:eastAsia="es-SV"/>
              </w:rPr>
            </w:pPr>
            <w:r w:rsidRPr="00666FAC">
              <w:rPr>
                <w:rFonts w:eastAsia="Times New Roman" w:cstheme="minorHAnsi"/>
                <w:b w:val="0"/>
                <w:bCs w:val="0"/>
                <w:color w:val="000000"/>
                <w:sz w:val="20"/>
                <w:szCs w:val="20"/>
                <w:lang w:eastAsia="es-SV"/>
              </w:rPr>
              <w:t xml:space="preserve">Mujer </w:t>
            </w:r>
          </w:p>
        </w:tc>
        <w:tc>
          <w:tcPr>
            <w:tcW w:w="750" w:type="dxa"/>
            <w:hideMark/>
          </w:tcPr>
          <w:p w14:paraId="5FC1F885" w14:textId="77777777" w:rsidR="00AA28C2" w:rsidRPr="00666FAC" w:rsidRDefault="00AA28C2" w:rsidP="0032351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s-SV"/>
              </w:rPr>
            </w:pPr>
            <w:r w:rsidRPr="00666FAC">
              <w:rPr>
                <w:rFonts w:eastAsia="Times New Roman" w:cstheme="minorHAnsi"/>
                <w:color w:val="000000"/>
                <w:sz w:val="20"/>
                <w:szCs w:val="20"/>
                <w:lang w:eastAsia="es-SV"/>
              </w:rPr>
              <w:t>328</w:t>
            </w:r>
          </w:p>
        </w:tc>
        <w:tc>
          <w:tcPr>
            <w:tcW w:w="1106" w:type="dxa"/>
            <w:hideMark/>
          </w:tcPr>
          <w:p w14:paraId="2F67F4D6" w14:textId="77777777" w:rsidR="00AA28C2" w:rsidRPr="00666FAC" w:rsidRDefault="00AA28C2" w:rsidP="0032351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s-SV"/>
              </w:rPr>
            </w:pPr>
            <w:r w:rsidRPr="00666FAC">
              <w:rPr>
                <w:rFonts w:eastAsia="Times New Roman" w:cstheme="minorHAnsi"/>
                <w:color w:val="000000"/>
                <w:sz w:val="20"/>
                <w:szCs w:val="20"/>
                <w:lang w:eastAsia="es-SV"/>
              </w:rPr>
              <w:t>169</w:t>
            </w:r>
          </w:p>
        </w:tc>
        <w:tc>
          <w:tcPr>
            <w:tcW w:w="1107" w:type="dxa"/>
            <w:hideMark/>
          </w:tcPr>
          <w:p w14:paraId="42288C82" w14:textId="77777777" w:rsidR="00AA28C2" w:rsidRPr="00666FAC" w:rsidRDefault="00AA28C2" w:rsidP="0032351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s-SV"/>
              </w:rPr>
            </w:pPr>
            <w:r w:rsidRPr="00666FAC">
              <w:rPr>
                <w:rFonts w:eastAsia="Times New Roman" w:cstheme="minorHAnsi"/>
                <w:color w:val="000000"/>
                <w:sz w:val="20"/>
                <w:szCs w:val="20"/>
                <w:lang w:eastAsia="es-SV"/>
              </w:rPr>
              <w:t>197</w:t>
            </w:r>
          </w:p>
        </w:tc>
        <w:tc>
          <w:tcPr>
            <w:tcW w:w="1107" w:type="dxa"/>
            <w:hideMark/>
          </w:tcPr>
          <w:p w14:paraId="28A33E1B" w14:textId="77777777" w:rsidR="00AA28C2" w:rsidRPr="00666FAC" w:rsidRDefault="00AA28C2" w:rsidP="0032351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s-SV"/>
              </w:rPr>
            </w:pPr>
            <w:r w:rsidRPr="00666FAC">
              <w:rPr>
                <w:rFonts w:eastAsia="Times New Roman" w:cstheme="minorHAnsi"/>
                <w:color w:val="000000"/>
                <w:sz w:val="20"/>
                <w:szCs w:val="20"/>
                <w:lang w:eastAsia="es-SV"/>
              </w:rPr>
              <w:t>236</w:t>
            </w:r>
          </w:p>
        </w:tc>
        <w:tc>
          <w:tcPr>
            <w:tcW w:w="1107" w:type="dxa"/>
            <w:hideMark/>
          </w:tcPr>
          <w:p w14:paraId="19925459" w14:textId="77777777" w:rsidR="00AA28C2" w:rsidRPr="00666FAC" w:rsidRDefault="00AA28C2" w:rsidP="0032351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s-SV"/>
              </w:rPr>
            </w:pPr>
            <w:r w:rsidRPr="00666FAC">
              <w:rPr>
                <w:rFonts w:eastAsia="Times New Roman" w:cstheme="minorHAnsi"/>
                <w:color w:val="000000"/>
                <w:sz w:val="20"/>
                <w:szCs w:val="20"/>
                <w:lang w:eastAsia="es-SV"/>
              </w:rPr>
              <w:t>285</w:t>
            </w:r>
          </w:p>
        </w:tc>
        <w:tc>
          <w:tcPr>
            <w:tcW w:w="1117" w:type="dxa"/>
            <w:hideMark/>
          </w:tcPr>
          <w:p w14:paraId="1DBA9933" w14:textId="77777777" w:rsidR="00AA28C2" w:rsidRPr="00666FAC" w:rsidRDefault="00AA28C2" w:rsidP="0032351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s-SV"/>
              </w:rPr>
            </w:pPr>
            <w:r w:rsidRPr="00666FAC">
              <w:rPr>
                <w:rFonts w:eastAsia="Times New Roman" w:cstheme="minorHAnsi"/>
                <w:color w:val="000000"/>
                <w:sz w:val="20"/>
                <w:szCs w:val="20"/>
                <w:lang w:eastAsia="es-SV"/>
              </w:rPr>
              <w:t>241</w:t>
            </w:r>
          </w:p>
        </w:tc>
        <w:tc>
          <w:tcPr>
            <w:tcW w:w="1293" w:type="dxa"/>
            <w:noWrap/>
            <w:hideMark/>
          </w:tcPr>
          <w:p w14:paraId="1A93FC37" w14:textId="77777777" w:rsidR="00AA28C2" w:rsidRPr="00666FAC" w:rsidRDefault="00AA28C2" w:rsidP="0032351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s-SV"/>
              </w:rPr>
            </w:pPr>
            <w:r w:rsidRPr="00666FAC">
              <w:rPr>
                <w:rFonts w:eastAsia="Times New Roman" w:cstheme="minorHAnsi"/>
                <w:color w:val="000000"/>
                <w:sz w:val="20"/>
                <w:szCs w:val="20"/>
                <w:lang w:eastAsia="es-SV"/>
              </w:rPr>
              <w:t>1456</w:t>
            </w:r>
          </w:p>
        </w:tc>
      </w:tr>
      <w:tr w:rsidR="00AA28C2" w:rsidRPr="00666FAC" w14:paraId="31A9F733" w14:textId="77777777" w:rsidTr="00323519">
        <w:trPr>
          <w:trHeight w:val="237"/>
          <w:jc w:val="right"/>
        </w:trPr>
        <w:tc>
          <w:tcPr>
            <w:cnfStyle w:val="001000000000" w:firstRow="0" w:lastRow="0" w:firstColumn="1" w:lastColumn="0" w:oddVBand="0" w:evenVBand="0" w:oddHBand="0" w:evenHBand="0" w:firstRowFirstColumn="0" w:firstRowLastColumn="0" w:lastRowFirstColumn="0" w:lastRowLastColumn="0"/>
            <w:tcW w:w="1911" w:type="dxa"/>
            <w:hideMark/>
          </w:tcPr>
          <w:p w14:paraId="34885777" w14:textId="77777777" w:rsidR="00AA28C2" w:rsidRPr="00666FAC" w:rsidRDefault="00AA28C2" w:rsidP="00323519">
            <w:pPr>
              <w:spacing w:after="0" w:line="240" w:lineRule="auto"/>
              <w:jc w:val="both"/>
              <w:rPr>
                <w:rFonts w:eastAsia="Times New Roman" w:cstheme="minorHAnsi"/>
                <w:b w:val="0"/>
                <w:bCs w:val="0"/>
                <w:color w:val="000000"/>
                <w:sz w:val="20"/>
                <w:szCs w:val="20"/>
                <w:lang w:eastAsia="es-SV"/>
              </w:rPr>
            </w:pPr>
            <w:r w:rsidRPr="00666FAC">
              <w:rPr>
                <w:rFonts w:eastAsia="Times New Roman" w:cstheme="minorHAnsi"/>
                <w:b w:val="0"/>
                <w:bCs w:val="0"/>
                <w:color w:val="000000"/>
                <w:sz w:val="20"/>
                <w:szCs w:val="20"/>
                <w:lang w:eastAsia="es-SV"/>
              </w:rPr>
              <w:t>No registrado</w:t>
            </w:r>
          </w:p>
        </w:tc>
        <w:tc>
          <w:tcPr>
            <w:tcW w:w="750" w:type="dxa"/>
            <w:hideMark/>
          </w:tcPr>
          <w:p w14:paraId="6D903DC7" w14:textId="77777777" w:rsidR="00AA28C2" w:rsidRPr="00666FAC" w:rsidRDefault="00AA28C2" w:rsidP="0032351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SV"/>
              </w:rPr>
            </w:pPr>
            <w:r w:rsidRPr="00666FAC">
              <w:rPr>
                <w:rFonts w:eastAsia="Times New Roman" w:cstheme="minorHAnsi"/>
                <w:color w:val="000000"/>
                <w:sz w:val="20"/>
                <w:szCs w:val="20"/>
                <w:lang w:eastAsia="es-SV"/>
              </w:rPr>
              <w:t>708</w:t>
            </w:r>
          </w:p>
        </w:tc>
        <w:tc>
          <w:tcPr>
            <w:tcW w:w="1106" w:type="dxa"/>
            <w:hideMark/>
          </w:tcPr>
          <w:p w14:paraId="519EFB6B" w14:textId="77777777" w:rsidR="00AA28C2" w:rsidRPr="00666FAC" w:rsidRDefault="00AA28C2" w:rsidP="0032351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SV"/>
              </w:rPr>
            </w:pPr>
            <w:r w:rsidRPr="00666FAC">
              <w:rPr>
                <w:rFonts w:eastAsia="Times New Roman" w:cstheme="minorHAnsi"/>
                <w:color w:val="000000"/>
                <w:sz w:val="20"/>
                <w:szCs w:val="20"/>
                <w:lang w:eastAsia="es-SV"/>
              </w:rPr>
              <w:t>385</w:t>
            </w:r>
          </w:p>
        </w:tc>
        <w:tc>
          <w:tcPr>
            <w:tcW w:w="1107" w:type="dxa"/>
            <w:hideMark/>
          </w:tcPr>
          <w:p w14:paraId="5B202916" w14:textId="77777777" w:rsidR="00AA28C2" w:rsidRPr="00666FAC" w:rsidRDefault="00AA28C2" w:rsidP="0032351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SV"/>
              </w:rPr>
            </w:pPr>
            <w:r w:rsidRPr="00666FAC">
              <w:rPr>
                <w:rFonts w:eastAsia="Times New Roman" w:cstheme="minorHAnsi"/>
                <w:color w:val="000000"/>
                <w:sz w:val="20"/>
                <w:szCs w:val="20"/>
                <w:lang w:eastAsia="es-SV"/>
              </w:rPr>
              <w:t>387</w:t>
            </w:r>
          </w:p>
        </w:tc>
        <w:tc>
          <w:tcPr>
            <w:tcW w:w="1107" w:type="dxa"/>
            <w:hideMark/>
          </w:tcPr>
          <w:p w14:paraId="7BD51C70" w14:textId="77777777" w:rsidR="00AA28C2" w:rsidRPr="00666FAC" w:rsidRDefault="00AA28C2" w:rsidP="0032351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SV"/>
              </w:rPr>
            </w:pPr>
            <w:r w:rsidRPr="00666FAC">
              <w:rPr>
                <w:rFonts w:eastAsia="Times New Roman" w:cstheme="minorHAnsi"/>
                <w:color w:val="000000"/>
                <w:sz w:val="20"/>
                <w:szCs w:val="20"/>
                <w:lang w:eastAsia="es-SV"/>
              </w:rPr>
              <w:t>609</w:t>
            </w:r>
          </w:p>
        </w:tc>
        <w:tc>
          <w:tcPr>
            <w:tcW w:w="1107" w:type="dxa"/>
            <w:hideMark/>
          </w:tcPr>
          <w:p w14:paraId="39B0E0A9" w14:textId="77777777" w:rsidR="00AA28C2" w:rsidRPr="00666FAC" w:rsidRDefault="00AA28C2" w:rsidP="0032351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SV"/>
              </w:rPr>
            </w:pPr>
            <w:r w:rsidRPr="00666FAC">
              <w:rPr>
                <w:rFonts w:eastAsia="Times New Roman" w:cstheme="minorHAnsi"/>
                <w:color w:val="000000"/>
                <w:sz w:val="20"/>
                <w:szCs w:val="20"/>
                <w:lang w:eastAsia="es-SV"/>
              </w:rPr>
              <w:t>549</w:t>
            </w:r>
          </w:p>
        </w:tc>
        <w:tc>
          <w:tcPr>
            <w:tcW w:w="1117" w:type="dxa"/>
            <w:hideMark/>
          </w:tcPr>
          <w:p w14:paraId="51A7837E" w14:textId="77777777" w:rsidR="00AA28C2" w:rsidRPr="00666FAC" w:rsidRDefault="00AA28C2" w:rsidP="0032351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SV"/>
              </w:rPr>
            </w:pPr>
            <w:r w:rsidRPr="00666FAC">
              <w:rPr>
                <w:rFonts w:eastAsia="Times New Roman" w:cstheme="minorHAnsi"/>
                <w:color w:val="000000"/>
                <w:sz w:val="20"/>
                <w:szCs w:val="20"/>
                <w:lang w:eastAsia="es-SV"/>
              </w:rPr>
              <w:t>350</w:t>
            </w:r>
          </w:p>
        </w:tc>
        <w:tc>
          <w:tcPr>
            <w:tcW w:w="1293" w:type="dxa"/>
            <w:noWrap/>
            <w:hideMark/>
          </w:tcPr>
          <w:p w14:paraId="226C5949" w14:textId="77777777" w:rsidR="00AA28C2" w:rsidRPr="00666FAC" w:rsidRDefault="00AA28C2" w:rsidP="0032351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SV"/>
              </w:rPr>
            </w:pPr>
            <w:r w:rsidRPr="00666FAC">
              <w:rPr>
                <w:rFonts w:eastAsia="Times New Roman" w:cstheme="minorHAnsi"/>
                <w:color w:val="000000"/>
                <w:sz w:val="20"/>
                <w:szCs w:val="20"/>
                <w:lang w:eastAsia="es-SV"/>
              </w:rPr>
              <w:t>2988</w:t>
            </w:r>
          </w:p>
        </w:tc>
      </w:tr>
      <w:tr w:rsidR="00AA28C2" w:rsidRPr="00666FAC" w14:paraId="407B4D5A" w14:textId="77777777" w:rsidTr="00323519">
        <w:trPr>
          <w:cnfStyle w:val="000000100000" w:firstRow="0" w:lastRow="0" w:firstColumn="0" w:lastColumn="0" w:oddVBand="0" w:evenVBand="0" w:oddHBand="1" w:evenHBand="0" w:firstRowFirstColumn="0" w:firstRowLastColumn="0" w:lastRowFirstColumn="0" w:lastRowLastColumn="0"/>
          <w:trHeight w:val="141"/>
          <w:jc w:val="right"/>
        </w:trPr>
        <w:tc>
          <w:tcPr>
            <w:cnfStyle w:val="001000000000" w:firstRow="0" w:lastRow="0" w:firstColumn="1" w:lastColumn="0" w:oddVBand="0" w:evenVBand="0" w:oddHBand="0" w:evenHBand="0" w:firstRowFirstColumn="0" w:firstRowLastColumn="0" w:lastRowFirstColumn="0" w:lastRowLastColumn="0"/>
            <w:tcW w:w="1911" w:type="dxa"/>
            <w:hideMark/>
          </w:tcPr>
          <w:p w14:paraId="607D2369" w14:textId="77777777" w:rsidR="00AA28C2" w:rsidRPr="00666FAC" w:rsidRDefault="00AA28C2" w:rsidP="00323519">
            <w:pPr>
              <w:spacing w:after="0" w:line="240" w:lineRule="auto"/>
              <w:jc w:val="both"/>
              <w:rPr>
                <w:rFonts w:eastAsia="Times New Roman" w:cstheme="minorHAnsi"/>
                <w:b w:val="0"/>
                <w:bCs w:val="0"/>
                <w:color w:val="000000"/>
                <w:sz w:val="20"/>
                <w:szCs w:val="20"/>
                <w:lang w:eastAsia="es-SV"/>
              </w:rPr>
            </w:pPr>
            <w:r w:rsidRPr="00666FAC">
              <w:rPr>
                <w:rFonts w:eastAsia="Times New Roman" w:cstheme="minorHAnsi"/>
                <w:b w:val="0"/>
                <w:bCs w:val="0"/>
                <w:color w:val="000000"/>
                <w:sz w:val="20"/>
                <w:szCs w:val="20"/>
                <w:lang w:eastAsia="es-SV"/>
              </w:rPr>
              <w:t xml:space="preserve">Total </w:t>
            </w:r>
          </w:p>
        </w:tc>
        <w:tc>
          <w:tcPr>
            <w:tcW w:w="750" w:type="dxa"/>
            <w:hideMark/>
          </w:tcPr>
          <w:p w14:paraId="3BC462B7" w14:textId="77777777" w:rsidR="00AA28C2" w:rsidRPr="00666FAC" w:rsidRDefault="00AA28C2" w:rsidP="0032351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s-SV"/>
              </w:rPr>
            </w:pPr>
            <w:r w:rsidRPr="00666FAC">
              <w:rPr>
                <w:rFonts w:eastAsia="Times New Roman" w:cstheme="minorHAnsi"/>
                <w:color w:val="000000"/>
                <w:sz w:val="20"/>
                <w:szCs w:val="20"/>
                <w:lang w:eastAsia="es-SV"/>
              </w:rPr>
              <w:t>1642</w:t>
            </w:r>
          </w:p>
        </w:tc>
        <w:tc>
          <w:tcPr>
            <w:tcW w:w="1106" w:type="dxa"/>
            <w:hideMark/>
          </w:tcPr>
          <w:p w14:paraId="780BCBB6" w14:textId="77777777" w:rsidR="00AA28C2" w:rsidRPr="00666FAC" w:rsidRDefault="00AA28C2" w:rsidP="0032351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s-SV"/>
              </w:rPr>
            </w:pPr>
            <w:r w:rsidRPr="00666FAC">
              <w:rPr>
                <w:rFonts w:eastAsia="Times New Roman" w:cstheme="minorHAnsi"/>
                <w:color w:val="000000"/>
                <w:sz w:val="20"/>
                <w:szCs w:val="20"/>
                <w:lang w:eastAsia="es-SV"/>
              </w:rPr>
              <w:t>922</w:t>
            </w:r>
          </w:p>
        </w:tc>
        <w:tc>
          <w:tcPr>
            <w:tcW w:w="1107" w:type="dxa"/>
            <w:hideMark/>
          </w:tcPr>
          <w:p w14:paraId="7792FF06" w14:textId="77777777" w:rsidR="00AA28C2" w:rsidRPr="00666FAC" w:rsidRDefault="00AA28C2" w:rsidP="0032351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s-SV"/>
              </w:rPr>
            </w:pPr>
            <w:r w:rsidRPr="00666FAC">
              <w:rPr>
                <w:rFonts w:eastAsia="Times New Roman" w:cstheme="minorHAnsi"/>
                <w:color w:val="000000"/>
                <w:sz w:val="20"/>
                <w:szCs w:val="20"/>
                <w:lang w:eastAsia="es-SV"/>
              </w:rPr>
              <w:t>974</w:t>
            </w:r>
          </w:p>
        </w:tc>
        <w:tc>
          <w:tcPr>
            <w:tcW w:w="1107" w:type="dxa"/>
            <w:hideMark/>
          </w:tcPr>
          <w:p w14:paraId="5D4E7766" w14:textId="77777777" w:rsidR="00AA28C2" w:rsidRPr="00666FAC" w:rsidRDefault="00AA28C2" w:rsidP="0032351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s-SV"/>
              </w:rPr>
            </w:pPr>
            <w:r w:rsidRPr="00666FAC">
              <w:rPr>
                <w:rFonts w:eastAsia="Times New Roman" w:cstheme="minorHAnsi"/>
                <w:color w:val="000000"/>
                <w:sz w:val="20"/>
                <w:szCs w:val="20"/>
                <w:lang w:eastAsia="es-SV"/>
              </w:rPr>
              <w:t>1444</w:t>
            </w:r>
          </w:p>
        </w:tc>
        <w:tc>
          <w:tcPr>
            <w:tcW w:w="1107" w:type="dxa"/>
            <w:hideMark/>
          </w:tcPr>
          <w:p w14:paraId="26476563" w14:textId="77777777" w:rsidR="00AA28C2" w:rsidRPr="00666FAC" w:rsidRDefault="00AA28C2" w:rsidP="0032351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s-SV"/>
              </w:rPr>
            </w:pPr>
            <w:r w:rsidRPr="00666FAC">
              <w:rPr>
                <w:rFonts w:eastAsia="Times New Roman" w:cstheme="minorHAnsi"/>
                <w:color w:val="000000"/>
                <w:sz w:val="20"/>
                <w:szCs w:val="20"/>
                <w:lang w:eastAsia="es-SV"/>
              </w:rPr>
              <w:t>2000</w:t>
            </w:r>
          </w:p>
        </w:tc>
        <w:tc>
          <w:tcPr>
            <w:tcW w:w="1117" w:type="dxa"/>
            <w:hideMark/>
          </w:tcPr>
          <w:p w14:paraId="1C095EEF" w14:textId="77777777" w:rsidR="00AA28C2" w:rsidRPr="00666FAC" w:rsidRDefault="00AA28C2" w:rsidP="0032351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s-SV"/>
              </w:rPr>
            </w:pPr>
            <w:r w:rsidRPr="00666FAC">
              <w:rPr>
                <w:rFonts w:eastAsia="Times New Roman" w:cstheme="minorHAnsi"/>
                <w:color w:val="000000"/>
                <w:sz w:val="20"/>
                <w:szCs w:val="20"/>
                <w:lang w:eastAsia="es-SV"/>
              </w:rPr>
              <w:t>1096</w:t>
            </w:r>
          </w:p>
        </w:tc>
        <w:tc>
          <w:tcPr>
            <w:tcW w:w="1293" w:type="dxa"/>
            <w:noWrap/>
            <w:hideMark/>
          </w:tcPr>
          <w:p w14:paraId="2E8BB3BE" w14:textId="77777777" w:rsidR="00AA28C2" w:rsidRPr="00666FAC" w:rsidRDefault="00AA28C2" w:rsidP="0032351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s-SV"/>
              </w:rPr>
            </w:pPr>
            <w:r w:rsidRPr="00666FAC">
              <w:rPr>
                <w:rFonts w:eastAsia="Times New Roman" w:cstheme="minorHAnsi"/>
                <w:color w:val="000000"/>
                <w:sz w:val="20"/>
                <w:szCs w:val="20"/>
                <w:lang w:eastAsia="es-SV"/>
              </w:rPr>
              <w:t>8078</w:t>
            </w:r>
          </w:p>
        </w:tc>
      </w:tr>
      <w:tr w:rsidR="00AA28C2" w:rsidRPr="00666FAC" w14:paraId="74FA30A6" w14:textId="77777777" w:rsidTr="00323519">
        <w:trPr>
          <w:trHeight w:val="141"/>
          <w:jc w:val="right"/>
        </w:trPr>
        <w:tc>
          <w:tcPr>
            <w:cnfStyle w:val="001000000000" w:firstRow="0" w:lastRow="0" w:firstColumn="1" w:lastColumn="0" w:oddVBand="0" w:evenVBand="0" w:oddHBand="0" w:evenHBand="0" w:firstRowFirstColumn="0" w:firstRowLastColumn="0" w:lastRowFirstColumn="0" w:lastRowLastColumn="0"/>
            <w:tcW w:w="9498" w:type="dxa"/>
            <w:gridSpan w:val="8"/>
            <w:hideMark/>
          </w:tcPr>
          <w:p w14:paraId="55533A8E" w14:textId="77777777" w:rsidR="00AA28C2" w:rsidRPr="00666FAC" w:rsidRDefault="00AA28C2" w:rsidP="00323519">
            <w:pPr>
              <w:spacing w:after="0" w:line="240" w:lineRule="auto"/>
              <w:jc w:val="center"/>
              <w:rPr>
                <w:rFonts w:eastAsia="Times New Roman" w:cstheme="minorHAnsi"/>
                <w:color w:val="000000"/>
                <w:sz w:val="18"/>
                <w:szCs w:val="18"/>
                <w:lang w:eastAsia="es-SV"/>
              </w:rPr>
            </w:pPr>
            <w:r w:rsidRPr="00666FAC">
              <w:rPr>
                <w:rFonts w:eastAsia="Times New Roman" w:cstheme="minorHAnsi"/>
                <w:color w:val="000000"/>
                <w:sz w:val="18"/>
                <w:szCs w:val="18"/>
                <w:lang w:eastAsia="es-SV"/>
              </w:rPr>
              <w:t>Fuente: Departamento de Estadísticas, según base de datos SIGAP al 5-03-2020.</w:t>
            </w:r>
          </w:p>
        </w:tc>
      </w:tr>
    </w:tbl>
    <w:p w14:paraId="3225A9D2" w14:textId="77777777" w:rsidR="00323519" w:rsidRPr="00323519" w:rsidRDefault="00323519" w:rsidP="00323519">
      <w:pPr>
        <w:spacing w:after="0" w:line="240" w:lineRule="auto"/>
        <w:jc w:val="both"/>
        <w:textAlignment w:val="baseline"/>
        <w:rPr>
          <w:rFonts w:eastAsia="Times New Roman" w:cstheme="minorHAnsi"/>
          <w:color w:val="000000"/>
          <w:bdr w:val="none" w:sz="0" w:space="0" w:color="auto" w:frame="1"/>
          <w:lang w:val="es-ES" w:eastAsia="es-SV"/>
        </w:rPr>
      </w:pPr>
    </w:p>
    <w:p w14:paraId="1FDCD440" w14:textId="6D473A3C" w:rsidR="002C6640" w:rsidRPr="00197BC0" w:rsidRDefault="002C6640" w:rsidP="00197BC0">
      <w:pPr>
        <w:pStyle w:val="Prrafodelista"/>
        <w:spacing w:after="0" w:line="240" w:lineRule="auto"/>
        <w:ind w:left="1080"/>
        <w:jc w:val="both"/>
        <w:textAlignment w:val="baseline"/>
        <w:rPr>
          <w:sz w:val="23"/>
          <w:szCs w:val="23"/>
        </w:rPr>
      </w:pPr>
      <w:r w:rsidRPr="00EB6019">
        <w:rPr>
          <w:rFonts w:eastAsia="Times New Roman" w:cstheme="minorHAnsi"/>
          <w:color w:val="000000"/>
          <w:sz w:val="23"/>
          <w:szCs w:val="23"/>
          <w:bdr w:val="none" w:sz="0" w:space="0" w:color="auto" w:frame="1"/>
          <w:lang w:val="es-ES" w:eastAsia="es-SV"/>
        </w:rPr>
        <w:t xml:space="preserve">A diciembre de 2020, la mora patronal al </w:t>
      </w:r>
      <w:r w:rsidR="00197BC0" w:rsidRPr="00EB6019">
        <w:rPr>
          <w:sz w:val="23"/>
          <w:szCs w:val="23"/>
        </w:rPr>
        <w:t xml:space="preserve">Instituto Salvadoreño del Seguro Social </w:t>
      </w:r>
      <w:r w:rsidR="00197BC0">
        <w:rPr>
          <w:sz w:val="23"/>
          <w:szCs w:val="23"/>
        </w:rPr>
        <w:t>(</w:t>
      </w:r>
      <w:r w:rsidRPr="00EB6019">
        <w:rPr>
          <w:rFonts w:eastAsia="Times New Roman" w:cstheme="minorHAnsi"/>
          <w:color w:val="000000"/>
          <w:sz w:val="23"/>
          <w:szCs w:val="23"/>
          <w:bdr w:val="none" w:sz="0" w:space="0" w:color="auto" w:frame="1"/>
          <w:lang w:val="es-ES" w:eastAsia="es-SV"/>
        </w:rPr>
        <w:t>ISSS</w:t>
      </w:r>
      <w:r w:rsidR="00197BC0">
        <w:rPr>
          <w:rFonts w:eastAsia="Times New Roman" w:cstheme="minorHAnsi"/>
          <w:color w:val="000000"/>
          <w:sz w:val="23"/>
          <w:szCs w:val="23"/>
          <w:bdr w:val="none" w:sz="0" w:space="0" w:color="auto" w:frame="1"/>
          <w:lang w:val="es-ES" w:eastAsia="es-SV"/>
        </w:rPr>
        <w:t>)</w:t>
      </w:r>
      <w:r w:rsidRPr="00EB6019">
        <w:rPr>
          <w:rFonts w:eastAsia="Times New Roman" w:cstheme="minorHAnsi"/>
          <w:color w:val="000000"/>
          <w:sz w:val="23"/>
          <w:szCs w:val="23"/>
          <w:bdr w:val="none" w:sz="0" w:space="0" w:color="auto" w:frame="1"/>
          <w:lang w:val="es-ES" w:eastAsia="es-SV"/>
        </w:rPr>
        <w:t xml:space="preserve"> asciende a </w:t>
      </w:r>
      <w:r w:rsidRPr="00EB6019">
        <w:rPr>
          <w:rFonts w:ascii="Calibri" w:eastAsia="Times New Roman" w:hAnsi="Calibri" w:cs="Times New Roman"/>
          <w:color w:val="000000"/>
          <w:sz w:val="23"/>
          <w:szCs w:val="23"/>
          <w:lang w:eastAsia="es-SV"/>
        </w:rPr>
        <w:t xml:space="preserve">$83,561,508.65; además de afectar el funcionamiento institucional, este impago </w:t>
      </w:r>
      <w:r w:rsidRPr="00EB6019">
        <w:rPr>
          <w:rFonts w:eastAsia="Times New Roman" w:cstheme="minorHAnsi"/>
          <w:color w:val="000000"/>
          <w:sz w:val="23"/>
          <w:szCs w:val="23"/>
          <w:bdr w:val="none" w:sz="0" w:space="0" w:color="auto" w:frame="1"/>
          <w:lang w:val="es-ES" w:eastAsia="es-SV"/>
        </w:rPr>
        <w:t>redunda de manera directa en el historial de cotización de las personas afectadas, pese que</w:t>
      </w:r>
      <w:r w:rsidR="007F59BB" w:rsidRPr="00EB6019">
        <w:rPr>
          <w:rFonts w:eastAsia="Times New Roman" w:cstheme="minorHAnsi"/>
          <w:color w:val="000000"/>
          <w:sz w:val="23"/>
          <w:szCs w:val="23"/>
          <w:bdr w:val="none" w:sz="0" w:space="0" w:color="auto" w:frame="1"/>
          <w:lang w:val="es-ES" w:eastAsia="es-SV"/>
        </w:rPr>
        <w:t xml:space="preserve"> a</w:t>
      </w:r>
      <w:r w:rsidRPr="00EB6019">
        <w:rPr>
          <w:rFonts w:eastAsia="Times New Roman" w:cstheme="minorHAnsi"/>
          <w:color w:val="000000"/>
          <w:sz w:val="23"/>
          <w:szCs w:val="23"/>
          <w:bdr w:val="none" w:sz="0" w:space="0" w:color="auto" w:frame="1"/>
          <w:lang w:val="es-ES" w:eastAsia="es-SV"/>
        </w:rPr>
        <w:t xml:space="preserve"> ellas sí se les descontó tales cuotas mensualmente. </w:t>
      </w:r>
      <w:r w:rsidR="00197BC0">
        <w:rPr>
          <w:rFonts w:eastAsia="Times New Roman" w:cstheme="minorHAnsi"/>
          <w:color w:val="000000"/>
          <w:sz w:val="23"/>
          <w:szCs w:val="23"/>
          <w:bdr w:val="none" w:sz="0" w:space="0" w:color="auto" w:frame="1"/>
          <w:lang w:val="es-ES" w:eastAsia="es-SV"/>
        </w:rPr>
        <w:t xml:space="preserve"> </w:t>
      </w:r>
      <w:r w:rsidRPr="00197BC0">
        <w:rPr>
          <w:sz w:val="23"/>
          <w:szCs w:val="23"/>
        </w:rPr>
        <w:t>El</w:t>
      </w:r>
      <w:r w:rsidR="00197BC0">
        <w:rPr>
          <w:sz w:val="23"/>
          <w:szCs w:val="23"/>
        </w:rPr>
        <w:t xml:space="preserve"> ISSS</w:t>
      </w:r>
      <w:r w:rsidRPr="00197BC0">
        <w:rPr>
          <w:sz w:val="23"/>
          <w:szCs w:val="23"/>
        </w:rPr>
        <w:t xml:space="preserve"> reporta que cerca del 7% de patronos, en promedio, no pagan su planilla oportunamente, afectando a 13 mil personas trabajadoras mensualmente y la recaudación (cerca de $4.6 millones menos a diciembre 2020). </w:t>
      </w:r>
      <w:r w:rsidR="00197BC0">
        <w:rPr>
          <w:sz w:val="23"/>
          <w:szCs w:val="23"/>
        </w:rPr>
        <w:t xml:space="preserve"> </w:t>
      </w:r>
      <w:r w:rsidRPr="00197BC0">
        <w:rPr>
          <w:sz w:val="23"/>
          <w:szCs w:val="23"/>
        </w:rPr>
        <w:t xml:space="preserve">El siguiente cuadro muestra el monto actualizado de la mora al ISSS, separada en cotizaciones, multas y recargos. “La mora patronal constituye junto con la evasión, uno de los principales problemas del </w:t>
      </w:r>
      <w:r w:rsidR="003C261C">
        <w:rPr>
          <w:sz w:val="23"/>
          <w:szCs w:val="23"/>
        </w:rPr>
        <w:t>r</w:t>
      </w:r>
      <w:r w:rsidRPr="00197BC0">
        <w:rPr>
          <w:sz w:val="23"/>
          <w:szCs w:val="23"/>
        </w:rPr>
        <w:t xml:space="preserve">égimen de </w:t>
      </w:r>
      <w:r w:rsidR="003C261C">
        <w:rPr>
          <w:sz w:val="23"/>
          <w:szCs w:val="23"/>
        </w:rPr>
        <w:t>s</w:t>
      </w:r>
      <w:r w:rsidRPr="00197BC0">
        <w:rPr>
          <w:sz w:val="23"/>
          <w:szCs w:val="23"/>
        </w:rPr>
        <w:t>alud del ISSS</w:t>
      </w:r>
      <w:r w:rsidRPr="00EB6019">
        <w:rPr>
          <w:rStyle w:val="Refdenotaalpie"/>
          <w:sz w:val="23"/>
          <w:szCs w:val="23"/>
        </w:rPr>
        <w:footnoteReference w:id="2"/>
      </w:r>
      <w:r w:rsidRPr="00197BC0">
        <w:rPr>
          <w:sz w:val="23"/>
          <w:szCs w:val="23"/>
        </w:rPr>
        <w:t>.</w:t>
      </w:r>
      <w:r w:rsidRPr="00197BC0">
        <w:rPr>
          <w:rFonts w:eastAsia="Times New Roman" w:cstheme="minorHAnsi"/>
          <w:color w:val="000000"/>
          <w:sz w:val="23"/>
          <w:szCs w:val="23"/>
          <w:bdr w:val="none" w:sz="0" w:space="0" w:color="auto" w:frame="1"/>
          <w:lang w:eastAsia="es-SV"/>
        </w:rPr>
        <w:t xml:space="preserve">  </w:t>
      </w:r>
    </w:p>
    <w:p w14:paraId="75C77098" w14:textId="77777777" w:rsidR="002C6640" w:rsidRPr="005B0555" w:rsidRDefault="002C6640" w:rsidP="002C6640">
      <w:pPr>
        <w:pStyle w:val="Prrafodelista"/>
        <w:spacing w:after="0" w:line="240" w:lineRule="auto"/>
        <w:ind w:left="1080"/>
        <w:jc w:val="both"/>
        <w:textAlignment w:val="baseline"/>
        <w:rPr>
          <w:rFonts w:eastAsia="Times New Roman" w:cstheme="minorHAnsi"/>
          <w:color w:val="000000"/>
          <w:bdr w:val="none" w:sz="0" w:space="0" w:color="auto" w:frame="1"/>
          <w:lang w:eastAsia="es-SV"/>
        </w:rPr>
      </w:pPr>
      <w:r w:rsidRPr="005B0555">
        <w:rPr>
          <w:rFonts w:eastAsia="Times New Roman" w:cstheme="minorHAnsi"/>
          <w:color w:val="000000"/>
          <w:bdr w:val="none" w:sz="0" w:space="0" w:color="auto" w:frame="1"/>
          <w:lang w:eastAsia="es-SV"/>
        </w:rPr>
        <w:t xml:space="preserve">   </w:t>
      </w:r>
    </w:p>
    <w:tbl>
      <w:tblPr>
        <w:tblStyle w:val="Tabladecuadrcula6concolores-nfasis1"/>
        <w:tblW w:w="9729" w:type="dxa"/>
        <w:tblInd w:w="1129" w:type="dxa"/>
        <w:tblLook w:val="04A0" w:firstRow="1" w:lastRow="0" w:firstColumn="1" w:lastColumn="0" w:noHBand="0" w:noVBand="1"/>
      </w:tblPr>
      <w:tblGrid>
        <w:gridCol w:w="1791"/>
        <w:gridCol w:w="2925"/>
        <w:gridCol w:w="2418"/>
        <w:gridCol w:w="2595"/>
      </w:tblGrid>
      <w:tr w:rsidR="002C6640" w:rsidRPr="00666FAC" w14:paraId="0AFC1DDE" w14:textId="77777777" w:rsidTr="00666FAC">
        <w:trPr>
          <w:cnfStyle w:val="100000000000" w:firstRow="1" w:lastRow="0" w:firstColumn="0" w:lastColumn="0" w:oddVBand="0" w:evenVBand="0" w:oddHBand="0"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9729" w:type="dxa"/>
            <w:gridSpan w:val="4"/>
            <w:noWrap/>
            <w:hideMark/>
          </w:tcPr>
          <w:p w14:paraId="7F3763C9" w14:textId="77777777" w:rsidR="002C6640" w:rsidRPr="00666FAC" w:rsidRDefault="002C6640" w:rsidP="00666FAC">
            <w:pPr>
              <w:spacing w:after="0" w:line="240" w:lineRule="auto"/>
              <w:jc w:val="center"/>
              <w:rPr>
                <w:rFonts w:ascii="Times New Roman" w:eastAsia="Times New Roman" w:hAnsi="Times New Roman" w:cs="Times New Roman"/>
                <w:sz w:val="20"/>
                <w:szCs w:val="20"/>
                <w:lang w:eastAsia="es-SV"/>
              </w:rPr>
            </w:pPr>
            <w:r w:rsidRPr="00666FAC">
              <w:rPr>
                <w:rFonts w:ascii="Calibri" w:eastAsia="Times New Roman" w:hAnsi="Calibri" w:cs="Times New Roman"/>
                <w:color w:val="000000"/>
                <w:sz w:val="20"/>
                <w:szCs w:val="20"/>
                <w:lang w:eastAsia="es-SV"/>
              </w:rPr>
              <w:t>Mora patronal al I</w:t>
            </w:r>
            <w:r>
              <w:rPr>
                <w:rFonts w:ascii="Calibri" w:eastAsia="Times New Roman" w:hAnsi="Calibri" w:cs="Times New Roman"/>
                <w:color w:val="000000"/>
                <w:sz w:val="20"/>
                <w:szCs w:val="20"/>
                <w:lang w:eastAsia="es-SV"/>
              </w:rPr>
              <w:t>nstituto Salvadoreño del Seguro Social,</w:t>
            </w:r>
            <w:r w:rsidRPr="00666FAC">
              <w:rPr>
                <w:rFonts w:ascii="Calibri" w:eastAsia="Times New Roman" w:hAnsi="Calibri" w:cs="Times New Roman"/>
                <w:color w:val="000000"/>
                <w:sz w:val="20"/>
                <w:szCs w:val="20"/>
                <w:lang w:eastAsia="es-SV"/>
              </w:rPr>
              <w:t xml:space="preserve"> a diciembre 2020</w:t>
            </w:r>
            <w:r>
              <w:rPr>
                <w:rFonts w:ascii="Calibri" w:eastAsia="Times New Roman" w:hAnsi="Calibri" w:cs="Times New Roman"/>
                <w:color w:val="000000"/>
                <w:sz w:val="20"/>
                <w:szCs w:val="20"/>
                <w:lang w:eastAsia="es-SV"/>
              </w:rPr>
              <w:t>.</w:t>
            </w:r>
          </w:p>
        </w:tc>
      </w:tr>
      <w:tr w:rsidR="002C6640" w:rsidRPr="00666FAC" w14:paraId="68158212" w14:textId="77777777" w:rsidTr="00666FAC">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791" w:type="dxa"/>
            <w:noWrap/>
            <w:hideMark/>
          </w:tcPr>
          <w:p w14:paraId="05128D44" w14:textId="77777777" w:rsidR="002C6640" w:rsidRPr="00666FAC" w:rsidRDefault="002C6640" w:rsidP="00666FAC">
            <w:pPr>
              <w:spacing w:after="0" w:line="240" w:lineRule="auto"/>
              <w:jc w:val="both"/>
              <w:rPr>
                <w:rFonts w:ascii="Calibri" w:eastAsia="Times New Roman" w:hAnsi="Calibri" w:cs="Times New Roman"/>
                <w:color w:val="000000"/>
                <w:sz w:val="20"/>
                <w:szCs w:val="20"/>
                <w:lang w:eastAsia="es-SV"/>
              </w:rPr>
            </w:pPr>
            <w:r w:rsidRPr="00666FAC">
              <w:rPr>
                <w:rFonts w:ascii="Calibri" w:eastAsia="Times New Roman" w:hAnsi="Calibri" w:cs="Times New Roman"/>
                <w:color w:val="000000"/>
                <w:sz w:val="20"/>
                <w:szCs w:val="20"/>
                <w:lang w:eastAsia="es-SV"/>
              </w:rPr>
              <w:t xml:space="preserve">Sector económico </w:t>
            </w:r>
          </w:p>
        </w:tc>
        <w:tc>
          <w:tcPr>
            <w:tcW w:w="2925" w:type="dxa"/>
            <w:noWrap/>
            <w:hideMark/>
          </w:tcPr>
          <w:p w14:paraId="33C22559" w14:textId="77777777" w:rsidR="002C6640" w:rsidRPr="00666FAC" w:rsidRDefault="002C6640" w:rsidP="00666FA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0"/>
                <w:szCs w:val="20"/>
                <w:lang w:eastAsia="es-SV"/>
              </w:rPr>
            </w:pPr>
            <w:r w:rsidRPr="00666FAC">
              <w:rPr>
                <w:rFonts w:ascii="Calibri" w:eastAsia="Times New Roman" w:hAnsi="Calibri" w:cs="Times New Roman"/>
                <w:b/>
                <w:bCs/>
                <w:color w:val="000000"/>
                <w:sz w:val="20"/>
                <w:szCs w:val="20"/>
                <w:lang w:eastAsia="es-SV"/>
              </w:rPr>
              <w:t xml:space="preserve">Cotizaciones </w:t>
            </w:r>
          </w:p>
        </w:tc>
        <w:tc>
          <w:tcPr>
            <w:tcW w:w="5012" w:type="dxa"/>
            <w:gridSpan w:val="2"/>
            <w:noWrap/>
            <w:hideMark/>
          </w:tcPr>
          <w:p w14:paraId="3A1F9149" w14:textId="77777777" w:rsidR="002C6640" w:rsidRPr="00666FAC" w:rsidRDefault="002C6640" w:rsidP="00666FA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0"/>
                <w:szCs w:val="20"/>
                <w:lang w:eastAsia="es-SV"/>
              </w:rPr>
            </w:pPr>
            <w:r w:rsidRPr="00666FAC">
              <w:rPr>
                <w:rFonts w:ascii="Calibri" w:eastAsia="Times New Roman" w:hAnsi="Calibri" w:cs="Times New Roman"/>
                <w:b/>
                <w:bCs/>
                <w:color w:val="000000"/>
                <w:sz w:val="20"/>
                <w:szCs w:val="20"/>
                <w:lang w:eastAsia="es-SV"/>
              </w:rPr>
              <w:t xml:space="preserve">Multas y recargos                     Total </w:t>
            </w:r>
          </w:p>
        </w:tc>
      </w:tr>
      <w:tr w:rsidR="002C6640" w:rsidRPr="00666FAC" w14:paraId="6A8A64CC" w14:textId="77777777" w:rsidTr="00666FAC">
        <w:trPr>
          <w:trHeight w:val="248"/>
        </w:trPr>
        <w:tc>
          <w:tcPr>
            <w:cnfStyle w:val="001000000000" w:firstRow="0" w:lastRow="0" w:firstColumn="1" w:lastColumn="0" w:oddVBand="0" w:evenVBand="0" w:oddHBand="0" w:evenHBand="0" w:firstRowFirstColumn="0" w:firstRowLastColumn="0" w:lastRowFirstColumn="0" w:lastRowLastColumn="0"/>
            <w:tcW w:w="1791" w:type="dxa"/>
            <w:noWrap/>
            <w:hideMark/>
          </w:tcPr>
          <w:p w14:paraId="1C2BE39A" w14:textId="77777777" w:rsidR="002C6640" w:rsidRPr="00666FAC" w:rsidRDefault="002C6640" w:rsidP="00666FAC">
            <w:pPr>
              <w:spacing w:after="0" w:line="240" w:lineRule="auto"/>
              <w:jc w:val="both"/>
              <w:rPr>
                <w:rFonts w:ascii="Calibri" w:eastAsia="Times New Roman" w:hAnsi="Calibri" w:cs="Times New Roman"/>
                <w:color w:val="000000"/>
                <w:sz w:val="20"/>
                <w:szCs w:val="20"/>
                <w:lang w:eastAsia="es-SV"/>
              </w:rPr>
            </w:pPr>
            <w:r w:rsidRPr="00666FAC">
              <w:rPr>
                <w:rFonts w:ascii="Calibri" w:eastAsia="Times New Roman" w:hAnsi="Calibri" w:cs="Times New Roman"/>
                <w:color w:val="000000"/>
                <w:sz w:val="20"/>
                <w:szCs w:val="20"/>
                <w:lang w:eastAsia="es-SV"/>
              </w:rPr>
              <w:t>Sector privado</w:t>
            </w:r>
          </w:p>
        </w:tc>
        <w:tc>
          <w:tcPr>
            <w:tcW w:w="2925" w:type="dxa"/>
            <w:noWrap/>
            <w:hideMark/>
          </w:tcPr>
          <w:p w14:paraId="5AC75679" w14:textId="77777777" w:rsidR="002C6640" w:rsidRPr="00666FAC" w:rsidRDefault="002C6640" w:rsidP="001D053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666FAC">
              <w:rPr>
                <w:rFonts w:ascii="Calibri" w:eastAsia="Times New Roman" w:hAnsi="Calibri" w:cs="Times New Roman"/>
                <w:color w:val="000000"/>
                <w:sz w:val="20"/>
                <w:szCs w:val="20"/>
                <w:lang w:eastAsia="es-SV"/>
              </w:rPr>
              <w:t>$52,376,360.40</w:t>
            </w:r>
          </w:p>
        </w:tc>
        <w:tc>
          <w:tcPr>
            <w:tcW w:w="2418" w:type="dxa"/>
            <w:noWrap/>
            <w:hideMark/>
          </w:tcPr>
          <w:p w14:paraId="2C4D3D65" w14:textId="77777777" w:rsidR="002C6640" w:rsidRPr="00666FAC" w:rsidRDefault="002C6640" w:rsidP="001D053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666FAC">
              <w:rPr>
                <w:rFonts w:ascii="Calibri" w:eastAsia="Times New Roman" w:hAnsi="Calibri" w:cs="Times New Roman"/>
                <w:color w:val="000000"/>
                <w:sz w:val="20"/>
                <w:szCs w:val="20"/>
                <w:lang w:eastAsia="es-SV"/>
              </w:rPr>
              <w:t>$28,339,451.99</w:t>
            </w:r>
          </w:p>
        </w:tc>
        <w:tc>
          <w:tcPr>
            <w:tcW w:w="2594" w:type="dxa"/>
            <w:noWrap/>
            <w:hideMark/>
          </w:tcPr>
          <w:p w14:paraId="2A391293" w14:textId="77777777" w:rsidR="002C6640" w:rsidRPr="00666FAC" w:rsidRDefault="002C6640" w:rsidP="001D053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666FAC">
              <w:rPr>
                <w:rFonts w:ascii="Calibri" w:eastAsia="Times New Roman" w:hAnsi="Calibri" w:cs="Times New Roman"/>
                <w:color w:val="000000"/>
                <w:sz w:val="20"/>
                <w:szCs w:val="20"/>
                <w:lang w:eastAsia="es-SV"/>
              </w:rPr>
              <w:t>$80,715,812.39</w:t>
            </w:r>
          </w:p>
        </w:tc>
      </w:tr>
      <w:tr w:rsidR="002C6640" w:rsidRPr="00666FAC" w14:paraId="760C4B72" w14:textId="77777777" w:rsidTr="00666FAC">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791" w:type="dxa"/>
            <w:noWrap/>
            <w:hideMark/>
          </w:tcPr>
          <w:p w14:paraId="5A49C651" w14:textId="77777777" w:rsidR="002C6640" w:rsidRPr="00666FAC" w:rsidRDefault="002C6640" w:rsidP="00666FAC">
            <w:pPr>
              <w:spacing w:after="0" w:line="240" w:lineRule="auto"/>
              <w:jc w:val="both"/>
              <w:rPr>
                <w:rFonts w:ascii="Calibri" w:eastAsia="Times New Roman" w:hAnsi="Calibri" w:cs="Times New Roman"/>
                <w:color w:val="000000"/>
                <w:sz w:val="20"/>
                <w:szCs w:val="20"/>
                <w:lang w:eastAsia="es-SV"/>
              </w:rPr>
            </w:pPr>
            <w:r w:rsidRPr="00666FAC">
              <w:rPr>
                <w:rFonts w:ascii="Calibri" w:eastAsia="Times New Roman" w:hAnsi="Calibri" w:cs="Times New Roman"/>
                <w:color w:val="000000"/>
                <w:sz w:val="20"/>
                <w:szCs w:val="20"/>
                <w:lang w:eastAsia="es-SV"/>
              </w:rPr>
              <w:t xml:space="preserve">Sector público </w:t>
            </w:r>
          </w:p>
        </w:tc>
        <w:tc>
          <w:tcPr>
            <w:tcW w:w="2925" w:type="dxa"/>
            <w:noWrap/>
            <w:hideMark/>
          </w:tcPr>
          <w:p w14:paraId="5B49F3F5" w14:textId="77777777" w:rsidR="002C6640" w:rsidRPr="00666FAC" w:rsidRDefault="002C6640" w:rsidP="001D053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666FAC">
              <w:rPr>
                <w:rFonts w:ascii="Calibri" w:eastAsia="Times New Roman" w:hAnsi="Calibri" w:cs="Times New Roman"/>
                <w:color w:val="000000"/>
                <w:sz w:val="20"/>
                <w:szCs w:val="20"/>
                <w:lang w:eastAsia="es-SV"/>
              </w:rPr>
              <w:t>$2,404,958.63</w:t>
            </w:r>
          </w:p>
        </w:tc>
        <w:tc>
          <w:tcPr>
            <w:tcW w:w="2418" w:type="dxa"/>
            <w:noWrap/>
            <w:hideMark/>
          </w:tcPr>
          <w:p w14:paraId="3F20D260" w14:textId="77777777" w:rsidR="002C6640" w:rsidRPr="00666FAC" w:rsidRDefault="002C6640" w:rsidP="001D053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666FAC">
              <w:rPr>
                <w:rFonts w:ascii="Calibri" w:eastAsia="Times New Roman" w:hAnsi="Calibri" w:cs="Times New Roman"/>
                <w:color w:val="000000"/>
                <w:sz w:val="20"/>
                <w:szCs w:val="20"/>
                <w:lang w:eastAsia="es-SV"/>
              </w:rPr>
              <w:t>$440,737.63</w:t>
            </w:r>
          </w:p>
        </w:tc>
        <w:tc>
          <w:tcPr>
            <w:tcW w:w="2594" w:type="dxa"/>
            <w:noWrap/>
            <w:hideMark/>
          </w:tcPr>
          <w:p w14:paraId="69337494" w14:textId="77777777" w:rsidR="002C6640" w:rsidRPr="00666FAC" w:rsidRDefault="002C6640" w:rsidP="001D053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SV"/>
              </w:rPr>
            </w:pPr>
            <w:r w:rsidRPr="00666FAC">
              <w:rPr>
                <w:rFonts w:ascii="Calibri" w:eastAsia="Times New Roman" w:hAnsi="Calibri" w:cs="Times New Roman"/>
                <w:color w:val="000000"/>
                <w:sz w:val="20"/>
                <w:szCs w:val="20"/>
                <w:lang w:eastAsia="es-SV"/>
              </w:rPr>
              <w:t>$2,845,696.26</w:t>
            </w:r>
          </w:p>
        </w:tc>
      </w:tr>
      <w:tr w:rsidR="002C6640" w:rsidRPr="00666FAC" w14:paraId="4A118AF1" w14:textId="77777777" w:rsidTr="00666FAC">
        <w:trPr>
          <w:trHeight w:val="248"/>
        </w:trPr>
        <w:tc>
          <w:tcPr>
            <w:cnfStyle w:val="001000000000" w:firstRow="0" w:lastRow="0" w:firstColumn="1" w:lastColumn="0" w:oddVBand="0" w:evenVBand="0" w:oddHBand="0" w:evenHBand="0" w:firstRowFirstColumn="0" w:firstRowLastColumn="0" w:lastRowFirstColumn="0" w:lastRowLastColumn="0"/>
            <w:tcW w:w="1791" w:type="dxa"/>
            <w:noWrap/>
            <w:hideMark/>
          </w:tcPr>
          <w:p w14:paraId="50B75404" w14:textId="77777777" w:rsidR="002C6640" w:rsidRPr="00666FAC" w:rsidRDefault="002C6640" w:rsidP="00666FAC">
            <w:pPr>
              <w:spacing w:after="0" w:line="240" w:lineRule="auto"/>
              <w:jc w:val="both"/>
              <w:rPr>
                <w:rFonts w:ascii="Calibri" w:eastAsia="Times New Roman" w:hAnsi="Calibri" w:cs="Times New Roman"/>
                <w:color w:val="000000"/>
                <w:sz w:val="20"/>
                <w:szCs w:val="20"/>
                <w:lang w:eastAsia="es-SV"/>
              </w:rPr>
            </w:pPr>
            <w:r w:rsidRPr="00666FAC">
              <w:rPr>
                <w:rFonts w:ascii="Calibri" w:eastAsia="Times New Roman" w:hAnsi="Calibri" w:cs="Times New Roman"/>
                <w:color w:val="000000"/>
                <w:sz w:val="20"/>
                <w:szCs w:val="20"/>
                <w:lang w:eastAsia="es-SV"/>
              </w:rPr>
              <w:t xml:space="preserve">Total </w:t>
            </w:r>
          </w:p>
        </w:tc>
        <w:tc>
          <w:tcPr>
            <w:tcW w:w="2925" w:type="dxa"/>
            <w:noWrap/>
            <w:hideMark/>
          </w:tcPr>
          <w:p w14:paraId="241F042F" w14:textId="77777777" w:rsidR="002C6640" w:rsidRPr="00666FAC" w:rsidRDefault="002C6640" w:rsidP="001D053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666FAC">
              <w:rPr>
                <w:rFonts w:ascii="Calibri" w:eastAsia="Times New Roman" w:hAnsi="Calibri" w:cs="Times New Roman"/>
                <w:color w:val="000000"/>
                <w:sz w:val="20"/>
                <w:szCs w:val="20"/>
                <w:lang w:eastAsia="es-SV"/>
              </w:rPr>
              <w:t>$54,781,319.03</w:t>
            </w:r>
          </w:p>
        </w:tc>
        <w:tc>
          <w:tcPr>
            <w:tcW w:w="2418" w:type="dxa"/>
            <w:noWrap/>
            <w:hideMark/>
          </w:tcPr>
          <w:p w14:paraId="54F033AC" w14:textId="77777777" w:rsidR="002C6640" w:rsidRPr="00666FAC" w:rsidRDefault="002C6640" w:rsidP="001D053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666FAC">
              <w:rPr>
                <w:rFonts w:ascii="Calibri" w:eastAsia="Times New Roman" w:hAnsi="Calibri" w:cs="Times New Roman"/>
                <w:color w:val="000000"/>
                <w:sz w:val="20"/>
                <w:szCs w:val="20"/>
                <w:lang w:eastAsia="es-SV"/>
              </w:rPr>
              <w:t>$28,780,189.62</w:t>
            </w:r>
          </w:p>
        </w:tc>
        <w:tc>
          <w:tcPr>
            <w:tcW w:w="2594" w:type="dxa"/>
            <w:noWrap/>
            <w:hideMark/>
          </w:tcPr>
          <w:p w14:paraId="1DFB3AF5" w14:textId="77777777" w:rsidR="002C6640" w:rsidRPr="00666FAC" w:rsidRDefault="002C6640" w:rsidP="001D053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SV"/>
              </w:rPr>
            </w:pPr>
            <w:r w:rsidRPr="00666FAC">
              <w:rPr>
                <w:rFonts w:ascii="Calibri" w:eastAsia="Times New Roman" w:hAnsi="Calibri" w:cs="Times New Roman"/>
                <w:color w:val="000000"/>
                <w:sz w:val="20"/>
                <w:szCs w:val="20"/>
                <w:lang w:eastAsia="es-SV"/>
              </w:rPr>
              <w:t>$83,561,508.65</w:t>
            </w:r>
          </w:p>
        </w:tc>
      </w:tr>
      <w:tr w:rsidR="002C6640" w:rsidRPr="00666FAC" w14:paraId="5050ED58" w14:textId="77777777" w:rsidTr="00666FAC">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9729" w:type="dxa"/>
            <w:gridSpan w:val="4"/>
            <w:noWrap/>
            <w:hideMark/>
          </w:tcPr>
          <w:p w14:paraId="1E0C1366" w14:textId="470D483A" w:rsidR="002C6640" w:rsidRPr="00666FAC" w:rsidRDefault="002C6640" w:rsidP="00666FAC">
            <w:pPr>
              <w:spacing w:after="0" w:line="240" w:lineRule="auto"/>
              <w:jc w:val="both"/>
              <w:rPr>
                <w:rFonts w:ascii="Calibri" w:eastAsia="Times New Roman" w:hAnsi="Calibri" w:cs="Times New Roman"/>
                <w:b w:val="0"/>
                <w:bCs w:val="0"/>
                <w:color w:val="000000"/>
                <w:sz w:val="20"/>
                <w:szCs w:val="20"/>
                <w:lang w:eastAsia="es-SV"/>
              </w:rPr>
            </w:pPr>
            <w:r w:rsidRPr="00666FAC">
              <w:rPr>
                <w:rFonts w:ascii="Calibri" w:eastAsia="Times New Roman" w:hAnsi="Calibri" w:cs="Times New Roman"/>
                <w:b w:val="0"/>
                <w:bCs w:val="0"/>
                <w:color w:val="000000"/>
                <w:sz w:val="20"/>
                <w:szCs w:val="20"/>
                <w:lang w:eastAsia="es-SV"/>
              </w:rPr>
              <w:t>Elaboración propia con datos del Informe de Coyuntura del ISSS</w:t>
            </w:r>
            <w:r w:rsidR="00084AC6">
              <w:rPr>
                <w:rFonts w:ascii="Calibri" w:eastAsia="Times New Roman" w:hAnsi="Calibri" w:cs="Times New Roman"/>
                <w:b w:val="0"/>
                <w:bCs w:val="0"/>
                <w:color w:val="000000"/>
                <w:sz w:val="20"/>
                <w:szCs w:val="20"/>
                <w:lang w:eastAsia="es-SV"/>
              </w:rPr>
              <w:t>,</w:t>
            </w:r>
            <w:r w:rsidRPr="00666FAC">
              <w:rPr>
                <w:rFonts w:ascii="Calibri" w:eastAsia="Times New Roman" w:hAnsi="Calibri" w:cs="Times New Roman"/>
                <w:b w:val="0"/>
                <w:bCs w:val="0"/>
                <w:color w:val="000000"/>
                <w:sz w:val="20"/>
                <w:szCs w:val="20"/>
                <w:lang w:eastAsia="es-SV"/>
              </w:rPr>
              <w:t xml:space="preserve"> diciembre 2020</w:t>
            </w:r>
            <w:r w:rsidR="00084AC6">
              <w:rPr>
                <w:rFonts w:ascii="Calibri" w:eastAsia="Times New Roman" w:hAnsi="Calibri" w:cs="Times New Roman"/>
                <w:b w:val="0"/>
                <w:bCs w:val="0"/>
                <w:color w:val="000000"/>
                <w:sz w:val="20"/>
                <w:szCs w:val="20"/>
                <w:lang w:eastAsia="es-SV"/>
              </w:rPr>
              <w:t>.</w:t>
            </w:r>
          </w:p>
        </w:tc>
      </w:tr>
    </w:tbl>
    <w:p w14:paraId="4BAE3923" w14:textId="77777777" w:rsidR="002C6640" w:rsidRPr="005B0555" w:rsidRDefault="002C6640" w:rsidP="002C6640">
      <w:pPr>
        <w:pStyle w:val="Prrafodelista"/>
        <w:spacing w:after="0" w:line="240" w:lineRule="auto"/>
        <w:ind w:left="1080"/>
        <w:jc w:val="both"/>
        <w:textAlignment w:val="baseline"/>
        <w:rPr>
          <w:rFonts w:eastAsia="Times New Roman" w:cstheme="minorHAnsi"/>
          <w:color w:val="000000"/>
          <w:bdr w:val="none" w:sz="0" w:space="0" w:color="auto" w:frame="1"/>
          <w:lang w:eastAsia="es-SV"/>
        </w:rPr>
      </w:pPr>
      <w:r w:rsidRPr="005B0555">
        <w:rPr>
          <w:rFonts w:eastAsia="Times New Roman" w:cstheme="minorHAnsi"/>
          <w:color w:val="000000"/>
          <w:bdr w:val="none" w:sz="0" w:space="0" w:color="auto" w:frame="1"/>
          <w:lang w:eastAsia="es-SV"/>
        </w:rPr>
        <w:t xml:space="preserve">                                     </w:t>
      </w:r>
    </w:p>
    <w:p w14:paraId="75D2CA54" w14:textId="3D2827AB" w:rsidR="002C6640" w:rsidRPr="00EB6019" w:rsidRDefault="002C6640" w:rsidP="002C6640">
      <w:pPr>
        <w:pStyle w:val="Prrafodelista"/>
        <w:numPr>
          <w:ilvl w:val="0"/>
          <w:numId w:val="1"/>
        </w:numPr>
        <w:spacing w:after="0" w:line="240" w:lineRule="auto"/>
        <w:jc w:val="both"/>
        <w:textAlignment w:val="baseline"/>
        <w:rPr>
          <w:rFonts w:eastAsia="Times New Roman" w:cstheme="minorHAnsi"/>
          <w:color w:val="000000"/>
          <w:sz w:val="23"/>
          <w:szCs w:val="23"/>
          <w:bdr w:val="none" w:sz="0" w:space="0" w:color="auto" w:frame="1"/>
          <w:lang w:eastAsia="es-SV"/>
        </w:rPr>
      </w:pPr>
      <w:r w:rsidRPr="00EB6019">
        <w:rPr>
          <w:rFonts w:cstheme="minorHAnsi"/>
          <w:sz w:val="23"/>
          <w:szCs w:val="23"/>
        </w:rPr>
        <w:t>El Gobierno de la República</w:t>
      </w:r>
      <w:r w:rsidR="00B30E71" w:rsidRPr="00EB6019">
        <w:rPr>
          <w:rFonts w:cstheme="minorHAnsi"/>
          <w:sz w:val="23"/>
          <w:szCs w:val="23"/>
        </w:rPr>
        <w:t>,</w:t>
      </w:r>
      <w:r w:rsidRPr="00EB6019">
        <w:rPr>
          <w:rFonts w:cstheme="minorHAnsi"/>
          <w:sz w:val="23"/>
          <w:szCs w:val="23"/>
        </w:rPr>
        <w:t xml:space="preserve"> a través del Ministerio de Trabajo y Previsión Social</w:t>
      </w:r>
      <w:r w:rsidR="00B30E71" w:rsidRPr="00EB6019">
        <w:rPr>
          <w:rFonts w:cstheme="minorHAnsi"/>
          <w:sz w:val="23"/>
          <w:szCs w:val="23"/>
        </w:rPr>
        <w:t>,</w:t>
      </w:r>
      <w:r w:rsidRPr="00EB6019">
        <w:rPr>
          <w:rFonts w:cstheme="minorHAnsi"/>
          <w:sz w:val="23"/>
          <w:szCs w:val="23"/>
        </w:rPr>
        <w:t xml:space="preserve"> debe impulsar una política de empleo digno, que ofrezca opciones distintas a la maquila y en su lugar, fomentar fuentes de trabajo que garanticen la estabilidad laboral, prestaciones, condiciones apropiadas de trabajo y salarios justos, que propicien, verdaderamente, el bienestar y desarrollo social de la población salvadoreña.</w:t>
      </w:r>
    </w:p>
    <w:p w14:paraId="32A8F7D2" w14:textId="77777777" w:rsidR="002C6640" w:rsidRPr="00EB6019" w:rsidRDefault="002C6640" w:rsidP="002C6640">
      <w:pPr>
        <w:spacing w:after="0" w:line="240" w:lineRule="auto"/>
        <w:ind w:left="360"/>
        <w:jc w:val="both"/>
        <w:textAlignment w:val="baseline"/>
        <w:rPr>
          <w:rFonts w:eastAsia="Times New Roman" w:cstheme="minorHAnsi"/>
          <w:color w:val="000000"/>
          <w:sz w:val="23"/>
          <w:szCs w:val="23"/>
          <w:bdr w:val="none" w:sz="0" w:space="0" w:color="auto" w:frame="1"/>
          <w:lang w:eastAsia="es-SV"/>
        </w:rPr>
      </w:pPr>
    </w:p>
    <w:p w14:paraId="72635621" w14:textId="56C5EE35" w:rsidR="0047613C" w:rsidRPr="00D92237" w:rsidRDefault="002C6640" w:rsidP="00D92237">
      <w:pPr>
        <w:pStyle w:val="Prrafodelista"/>
        <w:numPr>
          <w:ilvl w:val="0"/>
          <w:numId w:val="1"/>
        </w:numPr>
        <w:spacing w:after="0" w:line="240" w:lineRule="auto"/>
        <w:jc w:val="both"/>
        <w:textAlignment w:val="baseline"/>
        <w:rPr>
          <w:rFonts w:eastAsia="Times New Roman" w:cstheme="minorHAnsi"/>
          <w:color w:val="000000"/>
          <w:sz w:val="23"/>
          <w:szCs w:val="23"/>
          <w:bdr w:val="none" w:sz="0" w:space="0" w:color="auto" w:frame="1"/>
          <w:lang w:eastAsia="es-SV"/>
        </w:rPr>
      </w:pPr>
      <w:r w:rsidRPr="00EB6019">
        <w:rPr>
          <w:rFonts w:eastAsia="Times New Roman" w:cstheme="minorHAnsi"/>
          <w:color w:val="000000"/>
          <w:sz w:val="23"/>
          <w:szCs w:val="23"/>
          <w:bdr w:val="none" w:sz="0" w:space="0" w:color="auto" w:frame="1"/>
          <w:lang w:eastAsia="es-SV"/>
        </w:rPr>
        <w:t>La Asamblea Legislativa tiene entre sus atribuciones</w:t>
      </w:r>
      <w:r w:rsidR="00DD677A">
        <w:rPr>
          <w:rFonts w:eastAsia="Times New Roman" w:cstheme="minorHAnsi"/>
          <w:color w:val="000000"/>
          <w:sz w:val="23"/>
          <w:szCs w:val="23"/>
          <w:bdr w:val="none" w:sz="0" w:space="0" w:color="auto" w:frame="1"/>
          <w:lang w:eastAsia="es-SV"/>
        </w:rPr>
        <w:t>:</w:t>
      </w:r>
      <w:r w:rsidRPr="00EB6019">
        <w:rPr>
          <w:rFonts w:eastAsia="Times New Roman" w:cstheme="minorHAnsi"/>
          <w:color w:val="000000"/>
          <w:sz w:val="23"/>
          <w:szCs w:val="23"/>
          <w:bdr w:val="none" w:sz="0" w:space="0" w:color="auto" w:frame="1"/>
          <w:lang w:eastAsia="es-SV"/>
        </w:rPr>
        <w:t xml:space="preserve"> “Decretar, interpretar auténticamente, reformar y derogar las leyes secundarias”; en tal sentido, se recomienda a este Órgano de Estado establecer un nuevo marco jurídico institucional </w:t>
      </w:r>
      <w:r w:rsidR="00B30E71" w:rsidRPr="00EB6019">
        <w:rPr>
          <w:rFonts w:eastAsia="Times New Roman" w:cstheme="minorHAnsi"/>
          <w:color w:val="000000"/>
          <w:sz w:val="23"/>
          <w:szCs w:val="23"/>
          <w:bdr w:val="none" w:sz="0" w:space="0" w:color="auto" w:frame="1"/>
          <w:lang w:eastAsia="es-SV"/>
        </w:rPr>
        <w:t>para</w:t>
      </w:r>
      <w:r w:rsidRPr="00EB6019">
        <w:rPr>
          <w:rFonts w:eastAsia="Times New Roman" w:cstheme="minorHAnsi"/>
          <w:color w:val="000000"/>
          <w:sz w:val="23"/>
          <w:szCs w:val="23"/>
          <w:bdr w:val="none" w:sz="0" w:space="0" w:color="auto" w:frame="1"/>
          <w:lang w:eastAsia="es-SV"/>
        </w:rPr>
        <w:t xml:space="preserve"> la Inspección de Trabajo</w:t>
      </w:r>
      <w:r w:rsidR="00DD677A">
        <w:rPr>
          <w:rFonts w:eastAsia="Times New Roman" w:cstheme="minorHAnsi"/>
          <w:color w:val="000000"/>
          <w:sz w:val="23"/>
          <w:szCs w:val="23"/>
          <w:bdr w:val="none" w:sz="0" w:space="0" w:color="auto" w:frame="1"/>
          <w:lang w:eastAsia="es-SV"/>
        </w:rPr>
        <w:t>; asimismo,</w:t>
      </w:r>
      <w:r w:rsidRPr="00EB6019">
        <w:rPr>
          <w:rFonts w:eastAsia="Times New Roman" w:cstheme="minorHAnsi"/>
          <w:color w:val="000000"/>
          <w:sz w:val="23"/>
          <w:szCs w:val="23"/>
          <w:bdr w:val="none" w:sz="0" w:space="0" w:color="auto" w:frame="1"/>
          <w:lang w:eastAsia="es-SV"/>
        </w:rPr>
        <w:t xml:space="preserve"> que se emitan disposiciones legales que garanticen que las personas empleadoras cumplan y respeten las disposiciones legales relativas al trabajo</w:t>
      </w:r>
      <w:r w:rsidR="00B30E71" w:rsidRPr="00EB6019">
        <w:rPr>
          <w:rFonts w:eastAsia="Times New Roman" w:cstheme="minorHAnsi"/>
          <w:color w:val="000000"/>
          <w:sz w:val="23"/>
          <w:szCs w:val="23"/>
          <w:bdr w:val="none" w:sz="0" w:space="0" w:color="auto" w:frame="1"/>
          <w:lang w:eastAsia="es-SV"/>
        </w:rPr>
        <w:t xml:space="preserve"> y</w:t>
      </w:r>
      <w:r w:rsidRPr="00EB6019">
        <w:rPr>
          <w:rFonts w:eastAsia="Times New Roman" w:cstheme="minorHAnsi"/>
          <w:color w:val="000000"/>
          <w:sz w:val="23"/>
          <w:szCs w:val="23"/>
          <w:bdr w:val="none" w:sz="0" w:space="0" w:color="auto" w:frame="1"/>
          <w:lang w:eastAsia="es-SV"/>
        </w:rPr>
        <w:t xml:space="preserve"> la seguridad social</w:t>
      </w:r>
      <w:r w:rsidR="00B30E71" w:rsidRPr="00EB6019">
        <w:rPr>
          <w:rFonts w:eastAsia="Times New Roman" w:cstheme="minorHAnsi"/>
          <w:color w:val="000000"/>
          <w:sz w:val="23"/>
          <w:szCs w:val="23"/>
          <w:bdr w:val="none" w:sz="0" w:space="0" w:color="auto" w:frame="1"/>
          <w:lang w:eastAsia="es-SV"/>
        </w:rPr>
        <w:t>,</w:t>
      </w:r>
      <w:r w:rsidRPr="00EB6019">
        <w:rPr>
          <w:rFonts w:eastAsia="Times New Roman" w:cstheme="minorHAnsi"/>
          <w:color w:val="000000"/>
          <w:sz w:val="23"/>
          <w:szCs w:val="23"/>
          <w:bdr w:val="none" w:sz="0" w:space="0" w:color="auto" w:frame="1"/>
          <w:lang w:eastAsia="es-SV"/>
        </w:rPr>
        <w:t xml:space="preserve"> por medio de una reforma a la Ley de Zonas Francas Industriales y de Comercialización</w:t>
      </w:r>
      <w:r w:rsidR="00B30E71" w:rsidRPr="00EB6019">
        <w:rPr>
          <w:rFonts w:eastAsia="Times New Roman" w:cstheme="minorHAnsi"/>
          <w:color w:val="000000"/>
          <w:sz w:val="23"/>
          <w:szCs w:val="23"/>
          <w:bdr w:val="none" w:sz="0" w:space="0" w:color="auto" w:frame="1"/>
          <w:lang w:eastAsia="es-SV"/>
        </w:rPr>
        <w:t>,</w:t>
      </w:r>
      <w:r w:rsidRPr="00EB6019">
        <w:rPr>
          <w:rFonts w:eastAsia="Times New Roman" w:cstheme="minorHAnsi"/>
          <w:color w:val="000000"/>
          <w:sz w:val="23"/>
          <w:szCs w:val="23"/>
          <w:bdr w:val="none" w:sz="0" w:space="0" w:color="auto" w:frame="1"/>
          <w:lang w:eastAsia="es-SV"/>
        </w:rPr>
        <w:t xml:space="preserve"> que establezca una garantía de fianza ante la eventual insolvencia de las empresas bajo e</w:t>
      </w:r>
      <w:r w:rsidR="00B30E71" w:rsidRPr="00EB6019">
        <w:rPr>
          <w:rFonts w:eastAsia="Times New Roman" w:cstheme="minorHAnsi"/>
          <w:color w:val="000000"/>
          <w:sz w:val="23"/>
          <w:szCs w:val="23"/>
          <w:bdr w:val="none" w:sz="0" w:space="0" w:color="auto" w:frame="1"/>
          <w:lang w:eastAsia="es-SV"/>
        </w:rPr>
        <w:t>ste</w:t>
      </w:r>
      <w:r w:rsidRPr="00EB6019">
        <w:rPr>
          <w:rFonts w:eastAsia="Times New Roman" w:cstheme="minorHAnsi"/>
          <w:color w:val="000000"/>
          <w:sz w:val="23"/>
          <w:szCs w:val="23"/>
          <w:bdr w:val="none" w:sz="0" w:space="0" w:color="auto" w:frame="1"/>
          <w:lang w:eastAsia="es-SV"/>
        </w:rPr>
        <w:t xml:space="preserve"> régimen.</w:t>
      </w:r>
      <w:bookmarkStart w:id="0" w:name="_GoBack"/>
      <w:bookmarkEnd w:id="0"/>
    </w:p>
    <w:sectPr w:rsidR="0047613C" w:rsidRPr="00D92237" w:rsidSect="00666FAC">
      <w:headerReference w:type="default" r:id="rId7"/>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A6A68" w14:textId="77777777" w:rsidR="002A2ECD" w:rsidRDefault="002A2ECD" w:rsidP="002C6640">
      <w:pPr>
        <w:spacing w:after="0" w:line="240" w:lineRule="auto"/>
      </w:pPr>
      <w:r>
        <w:separator/>
      </w:r>
    </w:p>
  </w:endnote>
  <w:endnote w:type="continuationSeparator" w:id="0">
    <w:p w14:paraId="4AE15061" w14:textId="77777777" w:rsidR="002A2ECD" w:rsidRDefault="002A2ECD" w:rsidP="002C6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B96B6" w14:textId="77777777" w:rsidR="00AD2382" w:rsidRPr="00A07634" w:rsidRDefault="002A2ECD" w:rsidP="00A07634">
    <w:pPr>
      <w:jc w:val="both"/>
      <w:rPr>
        <w:rFonts w:ascii="Arial" w:hAnsi="Arial" w:cs="Arial"/>
        <w:b/>
        <w:bCs/>
      </w:rPr>
    </w:pPr>
  </w:p>
  <w:p w14:paraId="59917724" w14:textId="77777777" w:rsidR="00A07634" w:rsidRDefault="002A2EC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3C2D43" w14:textId="77777777" w:rsidR="002A2ECD" w:rsidRDefault="002A2ECD" w:rsidP="002C6640">
      <w:pPr>
        <w:spacing w:after="0" w:line="240" w:lineRule="auto"/>
      </w:pPr>
      <w:r>
        <w:separator/>
      </w:r>
    </w:p>
  </w:footnote>
  <w:footnote w:type="continuationSeparator" w:id="0">
    <w:p w14:paraId="00E07FFA" w14:textId="77777777" w:rsidR="002A2ECD" w:rsidRDefault="002A2ECD" w:rsidP="002C6640">
      <w:pPr>
        <w:spacing w:after="0" w:line="240" w:lineRule="auto"/>
      </w:pPr>
      <w:r>
        <w:continuationSeparator/>
      </w:r>
    </w:p>
  </w:footnote>
  <w:footnote w:id="1">
    <w:p w14:paraId="5A1D9686" w14:textId="77777777" w:rsidR="002C6640" w:rsidRDefault="002C6640" w:rsidP="002C6640">
      <w:pPr>
        <w:pStyle w:val="Textonotapie"/>
        <w:rPr>
          <w:sz w:val="18"/>
          <w:szCs w:val="18"/>
        </w:rPr>
      </w:pPr>
      <w:r w:rsidRPr="00155EB9">
        <w:rPr>
          <w:rStyle w:val="Refdenotaalpie"/>
          <w:sz w:val="18"/>
          <w:szCs w:val="18"/>
        </w:rPr>
        <w:footnoteRef/>
      </w:r>
      <w:r w:rsidRPr="00155EB9">
        <w:rPr>
          <w:sz w:val="18"/>
          <w:szCs w:val="18"/>
        </w:rPr>
        <w:t xml:space="preserve"> </w:t>
      </w:r>
      <w:hyperlink r:id="rId1" w:history="1">
        <w:r w:rsidRPr="00155EB9">
          <w:rPr>
            <w:rStyle w:val="Hipervnculo"/>
            <w:sz w:val="18"/>
            <w:szCs w:val="18"/>
          </w:rPr>
          <w:t>https://observatoriocentroamericanodeviolencialaboral.org/wp-content/uploads/2020/12/Informe-Violencia-Laboral-2019-vf.pdf</w:t>
        </w:r>
      </w:hyperlink>
    </w:p>
    <w:p w14:paraId="3C247EA7" w14:textId="77777777" w:rsidR="002C6640" w:rsidRPr="00155EB9" w:rsidRDefault="002C6640" w:rsidP="002C6640">
      <w:pPr>
        <w:pStyle w:val="Textonotapie"/>
        <w:rPr>
          <w:sz w:val="18"/>
          <w:szCs w:val="18"/>
        </w:rPr>
      </w:pPr>
    </w:p>
  </w:footnote>
  <w:footnote w:id="2">
    <w:p w14:paraId="5F1B9CB1" w14:textId="77777777" w:rsidR="002C6640" w:rsidRPr="00155EB9" w:rsidRDefault="002C6640" w:rsidP="002C6640">
      <w:pPr>
        <w:pStyle w:val="Textonotapie"/>
        <w:rPr>
          <w:rFonts w:ascii="Calibri" w:eastAsia="Times New Roman" w:hAnsi="Calibri" w:cs="Times New Roman"/>
          <w:color w:val="000000"/>
          <w:sz w:val="18"/>
          <w:szCs w:val="18"/>
          <w:lang w:eastAsia="es-SV"/>
        </w:rPr>
      </w:pPr>
      <w:r w:rsidRPr="00155EB9">
        <w:rPr>
          <w:rStyle w:val="Refdenotaalpie"/>
          <w:sz w:val="18"/>
          <w:szCs w:val="18"/>
        </w:rPr>
        <w:footnoteRef/>
      </w:r>
      <w:r w:rsidRPr="00155EB9">
        <w:rPr>
          <w:sz w:val="18"/>
          <w:szCs w:val="18"/>
        </w:rPr>
        <w:t xml:space="preserve"> </w:t>
      </w:r>
      <w:r w:rsidRPr="00214DE4">
        <w:rPr>
          <w:rFonts w:ascii="Calibri" w:eastAsia="Times New Roman" w:hAnsi="Calibri" w:cs="Times New Roman"/>
          <w:color w:val="000000"/>
          <w:sz w:val="18"/>
          <w:szCs w:val="18"/>
          <w:lang w:eastAsia="es-SV"/>
        </w:rPr>
        <w:t>Informe de Coyuntura del ISSS de diciembre 2020</w:t>
      </w:r>
      <w:r w:rsidRPr="00155EB9">
        <w:rPr>
          <w:rFonts w:ascii="Calibri" w:eastAsia="Times New Roman" w:hAnsi="Calibri" w:cs="Times New Roman"/>
          <w:color w:val="000000"/>
          <w:sz w:val="18"/>
          <w:szCs w:val="18"/>
          <w:lang w:eastAsia="es-SV"/>
        </w:rPr>
        <w:t xml:space="preserve">, recuperado en </w:t>
      </w:r>
      <w:hyperlink r:id="rId2" w:history="1">
        <w:r w:rsidRPr="00155EB9">
          <w:rPr>
            <w:rStyle w:val="Hipervnculo"/>
            <w:rFonts w:ascii="Calibri" w:eastAsia="Times New Roman" w:hAnsi="Calibri" w:cs="Times New Roman"/>
            <w:sz w:val="18"/>
            <w:szCs w:val="18"/>
            <w:lang w:eastAsia="es-SV"/>
          </w:rPr>
          <w:t>https://www.transparencia.gob.sv/institutions/isss/documents/estadisticas</w:t>
        </w:r>
      </w:hyperlink>
    </w:p>
    <w:p w14:paraId="41570BD7" w14:textId="77777777" w:rsidR="002C6640" w:rsidRPr="00C9375F" w:rsidRDefault="002C6640" w:rsidP="002C6640">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60193" w14:textId="20D9D933" w:rsidR="00815C6E" w:rsidRPr="000F0B2D" w:rsidRDefault="00B96910" w:rsidP="000F0B2D">
    <w:pPr>
      <w:pStyle w:val="Encabezado"/>
    </w:pPr>
    <w:r w:rsidRPr="000F0B2D">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F1290"/>
    <w:multiLevelType w:val="hybridMultilevel"/>
    <w:tmpl w:val="F8C2F1FC"/>
    <w:lvl w:ilvl="0" w:tplc="FFBC8378">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640"/>
    <w:rsid w:val="0007641F"/>
    <w:rsid w:val="00084AC6"/>
    <w:rsid w:val="000F0B2D"/>
    <w:rsid w:val="001117EC"/>
    <w:rsid w:val="00153B5C"/>
    <w:rsid w:val="00177764"/>
    <w:rsid w:val="00197BC0"/>
    <w:rsid w:val="001D0535"/>
    <w:rsid w:val="00207138"/>
    <w:rsid w:val="002A2ECD"/>
    <w:rsid w:val="002C6640"/>
    <w:rsid w:val="00323519"/>
    <w:rsid w:val="003C261C"/>
    <w:rsid w:val="0047613C"/>
    <w:rsid w:val="00555DBF"/>
    <w:rsid w:val="006A1683"/>
    <w:rsid w:val="00771357"/>
    <w:rsid w:val="007F59BB"/>
    <w:rsid w:val="00815304"/>
    <w:rsid w:val="00926F89"/>
    <w:rsid w:val="00992362"/>
    <w:rsid w:val="009A1508"/>
    <w:rsid w:val="009A3904"/>
    <w:rsid w:val="009F5B01"/>
    <w:rsid w:val="00AA28C2"/>
    <w:rsid w:val="00B30E71"/>
    <w:rsid w:val="00B858ED"/>
    <w:rsid w:val="00B96910"/>
    <w:rsid w:val="00C27393"/>
    <w:rsid w:val="00CD3093"/>
    <w:rsid w:val="00D41FDA"/>
    <w:rsid w:val="00D92237"/>
    <w:rsid w:val="00DD677A"/>
    <w:rsid w:val="00E84C7C"/>
    <w:rsid w:val="00EB6019"/>
    <w:rsid w:val="00F518B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CB7AE"/>
  <w15:chartTrackingRefBased/>
  <w15:docId w15:val="{D15F893E-2DEA-462E-90C9-364CFABB5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640"/>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C66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C6640"/>
  </w:style>
  <w:style w:type="paragraph" w:styleId="Piedepgina">
    <w:name w:val="footer"/>
    <w:basedOn w:val="Normal"/>
    <w:link w:val="PiedepginaCar"/>
    <w:uiPriority w:val="99"/>
    <w:unhideWhenUsed/>
    <w:rsid w:val="002C66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C6640"/>
  </w:style>
  <w:style w:type="character" w:styleId="Hipervnculo">
    <w:name w:val="Hyperlink"/>
    <w:basedOn w:val="Fuentedeprrafopredeter"/>
    <w:uiPriority w:val="99"/>
    <w:unhideWhenUsed/>
    <w:rsid w:val="002C6640"/>
    <w:rPr>
      <w:color w:val="0563C1" w:themeColor="hyperlink"/>
      <w:u w:val="single"/>
    </w:rPr>
  </w:style>
  <w:style w:type="paragraph" w:styleId="Textonotapie">
    <w:name w:val="footnote text"/>
    <w:basedOn w:val="Normal"/>
    <w:link w:val="TextonotapieCar"/>
    <w:uiPriority w:val="99"/>
    <w:semiHidden/>
    <w:unhideWhenUsed/>
    <w:rsid w:val="002C664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C6640"/>
    <w:rPr>
      <w:sz w:val="20"/>
      <w:szCs w:val="20"/>
    </w:rPr>
  </w:style>
  <w:style w:type="character" w:styleId="Refdenotaalpie">
    <w:name w:val="footnote reference"/>
    <w:basedOn w:val="Fuentedeprrafopredeter"/>
    <w:uiPriority w:val="99"/>
    <w:semiHidden/>
    <w:unhideWhenUsed/>
    <w:rsid w:val="002C6640"/>
    <w:rPr>
      <w:vertAlign w:val="superscript"/>
    </w:rPr>
  </w:style>
  <w:style w:type="table" w:styleId="Tabladecuadrcula6concolores-nfasis1">
    <w:name w:val="Grid Table 6 Colorful Accent 1"/>
    <w:basedOn w:val="Tablanormal"/>
    <w:uiPriority w:val="51"/>
    <w:rsid w:val="002C6640"/>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Prrafodelista">
    <w:name w:val="List Paragraph"/>
    <w:basedOn w:val="Normal"/>
    <w:uiPriority w:val="34"/>
    <w:qFormat/>
    <w:rsid w:val="002C6640"/>
    <w:pPr>
      <w:ind w:left="720"/>
      <w:contextualSpacing/>
    </w:pPr>
  </w:style>
  <w:style w:type="table" w:styleId="Tabladecuadrcula2-nfasis1">
    <w:name w:val="Grid Table 2 Accent 1"/>
    <w:basedOn w:val="Tablanormal"/>
    <w:uiPriority w:val="47"/>
    <w:rsid w:val="002C6640"/>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transparencia.gob.sv/institutions/isss/documents/estadisticas" TargetMode="External"/><Relationship Id="rId1" Type="http://schemas.openxmlformats.org/officeDocument/2006/relationships/hyperlink" Target="https://observatoriocentroamericanodeviolencialaboral.org/wp-content/uploads/2020/12/Informe-Violencia-Laboral-2019-vf.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993</Words>
  <Characters>5464</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Vilma Vaquerano</dc:creator>
  <cp:keywords/>
  <dc:description/>
  <cp:lastModifiedBy>vilma vaquerano</cp:lastModifiedBy>
  <cp:revision>5</cp:revision>
  <dcterms:created xsi:type="dcterms:W3CDTF">2021-02-02T05:20:00Z</dcterms:created>
  <dcterms:modified xsi:type="dcterms:W3CDTF">2021-02-02T05:22:00Z</dcterms:modified>
</cp:coreProperties>
</file>