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B80E" w14:textId="549B514B" w:rsidR="003B7FEB" w:rsidRPr="00937222" w:rsidRDefault="00516E05" w:rsidP="002C77D9">
      <w:pPr>
        <w:spacing w:line="360" w:lineRule="auto"/>
        <w:jc w:val="center"/>
        <w:rPr>
          <w:rFonts w:cstheme="minorHAnsi"/>
          <w:b/>
          <w:bCs/>
          <w:sz w:val="36"/>
          <w:szCs w:val="24"/>
        </w:rPr>
      </w:pPr>
      <w:r w:rsidRPr="00937222">
        <w:rPr>
          <w:rFonts w:cstheme="minorHAnsi"/>
          <w:b/>
          <w:bCs/>
          <w:sz w:val="36"/>
          <w:szCs w:val="24"/>
        </w:rPr>
        <w:t>D</w:t>
      </w:r>
      <w:r w:rsidR="00297211" w:rsidRPr="00937222">
        <w:rPr>
          <w:rFonts w:cstheme="minorHAnsi"/>
          <w:b/>
          <w:bCs/>
          <w:sz w:val="36"/>
          <w:szCs w:val="24"/>
        </w:rPr>
        <w:t xml:space="preserve">ebido a </w:t>
      </w:r>
      <w:proofErr w:type="spellStart"/>
      <w:r w:rsidR="003B7FEB" w:rsidRPr="00937222">
        <w:rPr>
          <w:rFonts w:cstheme="minorHAnsi"/>
          <w:b/>
          <w:bCs/>
          <w:sz w:val="36"/>
          <w:szCs w:val="24"/>
        </w:rPr>
        <w:t>C</w:t>
      </w:r>
      <w:r w:rsidR="003A0D4E" w:rsidRPr="00937222">
        <w:rPr>
          <w:rFonts w:cstheme="minorHAnsi"/>
          <w:b/>
          <w:bCs/>
          <w:sz w:val="36"/>
          <w:szCs w:val="24"/>
        </w:rPr>
        <w:t>ovid</w:t>
      </w:r>
      <w:proofErr w:type="spellEnd"/>
      <w:r w:rsidR="001506BD">
        <w:rPr>
          <w:rFonts w:cstheme="minorHAnsi"/>
          <w:b/>
          <w:bCs/>
          <w:sz w:val="36"/>
          <w:szCs w:val="24"/>
        </w:rPr>
        <w:t xml:space="preserve"> 19</w:t>
      </w:r>
      <w:r w:rsidRPr="00937222">
        <w:rPr>
          <w:rFonts w:cstheme="minorHAnsi"/>
          <w:b/>
          <w:bCs/>
          <w:sz w:val="36"/>
          <w:szCs w:val="24"/>
        </w:rPr>
        <w:t xml:space="preserve">, prorrogan </w:t>
      </w:r>
      <w:r w:rsidR="003B7FEB" w:rsidRPr="00937222">
        <w:rPr>
          <w:rFonts w:cstheme="minorHAnsi"/>
          <w:b/>
          <w:bCs/>
          <w:sz w:val="36"/>
          <w:szCs w:val="24"/>
        </w:rPr>
        <w:t xml:space="preserve">entrada en vigencia de </w:t>
      </w:r>
      <w:r w:rsidR="00BC1223" w:rsidRPr="00937222">
        <w:rPr>
          <w:rFonts w:cstheme="minorHAnsi"/>
          <w:b/>
          <w:bCs/>
          <w:sz w:val="36"/>
          <w:szCs w:val="24"/>
        </w:rPr>
        <w:t>Ley de Salas Cunas</w:t>
      </w:r>
    </w:p>
    <w:p w14:paraId="427A2F63" w14:textId="16C8C277" w:rsidR="00C10A24" w:rsidRPr="009D396A" w:rsidRDefault="001506BD" w:rsidP="00885AA4">
      <w:pPr>
        <w:jc w:val="both"/>
        <w:rPr>
          <w:rFonts w:cstheme="minorHAnsi"/>
          <w:sz w:val="24"/>
          <w:szCs w:val="24"/>
          <w:shd w:val="clear" w:color="auto" w:fill="FFFFFF"/>
        </w:rPr>
      </w:pPr>
      <w:r>
        <w:rPr>
          <w:rFonts w:cstheme="minorHAnsi"/>
          <w:sz w:val="24"/>
          <w:szCs w:val="24"/>
          <w:shd w:val="clear" w:color="auto" w:fill="FFFFFF"/>
          <w:lang w:val="es-ES"/>
        </w:rPr>
        <w:t>Hasta enero 2021, entrará</w:t>
      </w:r>
      <w:r w:rsidR="003C3247" w:rsidRPr="00C10A24">
        <w:rPr>
          <w:rFonts w:cstheme="minorHAnsi"/>
          <w:sz w:val="24"/>
          <w:szCs w:val="24"/>
          <w:shd w:val="clear" w:color="auto" w:fill="FFFFFF"/>
          <w:lang w:val="es-ES"/>
        </w:rPr>
        <w:t xml:space="preserve"> en vigencia</w:t>
      </w:r>
      <w:r w:rsidR="00FA7453" w:rsidRPr="00C10A24">
        <w:rPr>
          <w:rFonts w:cstheme="minorHAnsi"/>
          <w:sz w:val="24"/>
          <w:szCs w:val="24"/>
          <w:shd w:val="clear" w:color="auto" w:fill="FFFFFF"/>
          <w:lang w:val="es-ES"/>
        </w:rPr>
        <w:t xml:space="preserve"> la</w:t>
      </w:r>
      <w:r w:rsidR="00297211" w:rsidRPr="00C10A24">
        <w:rPr>
          <w:rFonts w:cstheme="minorHAnsi"/>
          <w:sz w:val="24"/>
          <w:szCs w:val="24"/>
          <w:shd w:val="clear" w:color="auto" w:fill="FFFFFF"/>
          <w:lang w:val="es-ES"/>
        </w:rPr>
        <w:t xml:space="preserve"> </w:t>
      </w:r>
      <w:r w:rsidR="00297211" w:rsidRPr="00C10A24">
        <w:rPr>
          <w:rFonts w:cstheme="minorHAnsi"/>
          <w:sz w:val="24"/>
          <w:szCs w:val="24"/>
          <w:shd w:val="clear" w:color="auto" w:fill="FFFFFF"/>
          <w:lang w:val="es-ES"/>
        </w:rPr>
        <w:t>Ley Especial para la Regulación e Instalación de Salas Cunas para los Hijos de los Trabajador</w:t>
      </w:r>
      <w:r w:rsidR="00BC3D00">
        <w:rPr>
          <w:rFonts w:cstheme="minorHAnsi"/>
          <w:sz w:val="24"/>
          <w:szCs w:val="24"/>
          <w:shd w:val="clear" w:color="auto" w:fill="FFFFFF"/>
          <w:lang w:val="es-ES"/>
        </w:rPr>
        <w:t>es,</w:t>
      </w:r>
      <w:r w:rsidR="003C3247" w:rsidRPr="00C10A24">
        <w:rPr>
          <w:rFonts w:cstheme="minorHAnsi"/>
          <w:sz w:val="24"/>
          <w:szCs w:val="24"/>
          <w:shd w:val="clear" w:color="auto" w:fill="FFFFFF"/>
          <w:lang w:val="es-ES"/>
        </w:rPr>
        <w:t xml:space="preserve"> </w:t>
      </w:r>
      <w:r w:rsidR="00C10A24" w:rsidRPr="00C10A24">
        <w:rPr>
          <w:rFonts w:cstheme="minorHAnsi"/>
          <w:sz w:val="24"/>
          <w:szCs w:val="24"/>
          <w:shd w:val="clear" w:color="auto" w:fill="FFFFFF"/>
          <w:lang w:val="es-ES"/>
        </w:rPr>
        <w:t>luego que la Asa</w:t>
      </w:r>
      <w:r w:rsidR="00BC3D00">
        <w:rPr>
          <w:rFonts w:cstheme="minorHAnsi"/>
          <w:sz w:val="24"/>
          <w:szCs w:val="24"/>
          <w:shd w:val="clear" w:color="auto" w:fill="FFFFFF"/>
          <w:lang w:val="es-ES"/>
        </w:rPr>
        <w:t>mblea Legislativa aprobará</w:t>
      </w:r>
      <w:r w:rsidR="00C10A24" w:rsidRPr="00C10A24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C10A24" w:rsidRPr="009D396A">
        <w:rPr>
          <w:rFonts w:cstheme="minorHAnsi"/>
          <w:sz w:val="24"/>
          <w:szCs w:val="24"/>
          <w:shd w:val="clear" w:color="auto" w:fill="FFFFFF"/>
        </w:rPr>
        <w:t>una disposición transitori</w:t>
      </w:r>
      <w:r w:rsidR="00C10A24" w:rsidRPr="009D396A">
        <w:rPr>
          <w:rFonts w:cstheme="minorHAnsi"/>
          <w:sz w:val="24"/>
          <w:szCs w:val="24"/>
          <w:shd w:val="clear" w:color="auto" w:fill="FFFFFF"/>
        </w:rPr>
        <w:t>a</w:t>
      </w:r>
      <w:r w:rsidR="00B8464D" w:rsidRPr="009D396A">
        <w:rPr>
          <w:rFonts w:cstheme="minorHAnsi"/>
          <w:sz w:val="24"/>
          <w:szCs w:val="24"/>
          <w:shd w:val="clear" w:color="auto" w:fill="FFFFFF"/>
        </w:rPr>
        <w:t xml:space="preserve"> en junio 2020</w:t>
      </w:r>
      <w:r w:rsidR="00C10A24" w:rsidRPr="009D396A">
        <w:rPr>
          <w:rFonts w:cstheme="minorHAnsi"/>
          <w:sz w:val="24"/>
          <w:szCs w:val="24"/>
          <w:shd w:val="clear" w:color="auto" w:fill="FFFFFF"/>
        </w:rPr>
        <w:t>, debido a la pandemia sanitaria</w:t>
      </w:r>
      <w:r w:rsidR="00815F25" w:rsidRPr="009D396A">
        <w:rPr>
          <w:rStyle w:val="Refdenotaalpie"/>
          <w:rFonts w:cstheme="minorHAnsi"/>
          <w:sz w:val="24"/>
          <w:szCs w:val="24"/>
          <w:shd w:val="clear" w:color="auto" w:fill="FFFFFF"/>
        </w:rPr>
        <w:footnoteReference w:id="1"/>
      </w:r>
      <w:r w:rsidR="00C10A24" w:rsidRPr="009D396A">
        <w:rPr>
          <w:rFonts w:cstheme="minorHAnsi"/>
          <w:sz w:val="24"/>
          <w:szCs w:val="24"/>
          <w:shd w:val="clear" w:color="auto" w:fill="FFFFFF"/>
        </w:rPr>
        <w:t xml:space="preserve">. </w:t>
      </w:r>
    </w:p>
    <w:p w14:paraId="097A79F5" w14:textId="77777777" w:rsidR="001506BD" w:rsidRDefault="009C2F41" w:rsidP="00885AA4">
      <w:pPr>
        <w:jc w:val="both"/>
        <w:rPr>
          <w:rFonts w:cstheme="minorHAnsi"/>
          <w:sz w:val="24"/>
          <w:szCs w:val="24"/>
          <w:shd w:val="clear" w:color="auto" w:fill="FFFFFF"/>
          <w:lang w:val="es-ES"/>
        </w:rPr>
      </w:pPr>
      <w:r w:rsidRPr="009D396A">
        <w:rPr>
          <w:rFonts w:cstheme="minorHAnsi"/>
          <w:sz w:val="24"/>
          <w:szCs w:val="24"/>
          <w:shd w:val="clear" w:color="auto" w:fill="FFFFFF"/>
          <w:lang w:val="es-ES"/>
        </w:rPr>
        <w:t>Esta ley regula</w:t>
      </w:r>
      <w:r w:rsidR="00885AA4" w:rsidRPr="009D396A">
        <w:rPr>
          <w:rFonts w:cstheme="minorHAnsi"/>
          <w:sz w:val="24"/>
          <w:szCs w:val="24"/>
          <w:shd w:val="clear" w:color="auto" w:fill="FFFFFF"/>
          <w:lang w:val="es-ES"/>
        </w:rPr>
        <w:t xml:space="preserve"> las condiciones</w:t>
      </w:r>
      <w:r w:rsidR="00B63961" w:rsidRPr="009D396A">
        <w:rPr>
          <w:rFonts w:cstheme="minorHAnsi"/>
          <w:sz w:val="24"/>
          <w:szCs w:val="24"/>
          <w:shd w:val="clear" w:color="auto" w:fill="FFFFFF"/>
          <w:lang w:val="es-ES"/>
        </w:rPr>
        <w:t xml:space="preserve"> para implementar los </w:t>
      </w:r>
      <w:r w:rsidR="00885AA4" w:rsidRPr="009D396A">
        <w:rPr>
          <w:rFonts w:cstheme="minorHAnsi"/>
          <w:sz w:val="24"/>
          <w:szCs w:val="24"/>
          <w:shd w:val="clear" w:color="auto" w:fill="FFFFFF"/>
          <w:lang w:val="es-ES"/>
        </w:rPr>
        <w:t>servicios de salas cunas</w:t>
      </w:r>
      <w:r w:rsidR="00B63961" w:rsidRPr="009D396A">
        <w:rPr>
          <w:rFonts w:cstheme="minorHAnsi"/>
          <w:sz w:val="24"/>
          <w:szCs w:val="24"/>
          <w:shd w:val="clear" w:color="auto" w:fill="FFFFFF"/>
          <w:lang w:val="es-ES"/>
        </w:rPr>
        <w:t xml:space="preserve"> y lugares de custodia para hijas e hijos de las personas trabajadora</w:t>
      </w:r>
      <w:r w:rsidR="00885AA4" w:rsidRPr="009D396A">
        <w:rPr>
          <w:rFonts w:cstheme="minorHAnsi"/>
          <w:sz w:val="24"/>
          <w:szCs w:val="24"/>
          <w:shd w:val="clear" w:color="auto" w:fill="FFFFFF"/>
          <w:lang w:val="es-ES"/>
        </w:rPr>
        <w:t>s, ya sea en el lugar de trabajo o en un lugar anexo e independiente, determinados por el patrono de cada empresa.</w:t>
      </w:r>
      <w:r w:rsidR="001506BD">
        <w:rPr>
          <w:rFonts w:cstheme="minorHAnsi"/>
          <w:sz w:val="24"/>
          <w:szCs w:val="24"/>
          <w:shd w:val="clear" w:color="auto" w:fill="FFFFFF"/>
          <w:lang w:val="es-ES"/>
        </w:rPr>
        <w:t xml:space="preserve"> </w:t>
      </w:r>
    </w:p>
    <w:p w14:paraId="639980C2" w14:textId="3C4603E8" w:rsidR="00885AA4" w:rsidRPr="009D396A" w:rsidRDefault="001506BD" w:rsidP="00885AA4">
      <w:pPr>
        <w:jc w:val="both"/>
        <w:rPr>
          <w:rFonts w:cstheme="minorHAnsi"/>
          <w:sz w:val="24"/>
          <w:szCs w:val="24"/>
          <w:shd w:val="clear" w:color="auto" w:fill="FFFFFF"/>
          <w:lang w:val="es-ES"/>
        </w:rPr>
      </w:pPr>
      <w:r>
        <w:rPr>
          <w:sz w:val="24"/>
          <w:szCs w:val="24"/>
        </w:rPr>
        <w:t>Se aplicará</w:t>
      </w:r>
      <w:r w:rsidR="009D396A" w:rsidRPr="009D396A">
        <w:rPr>
          <w:sz w:val="24"/>
          <w:szCs w:val="24"/>
        </w:rPr>
        <w:t xml:space="preserve"> al sector público y la empresa privada, instituciones oficiales autónomas, y las municipalidades. Ninguna institución incluyendo el Instituto Salvadoreño del Seguro Social, y la Comisión Ejecutiva Hidroeléctrica del Río Lempa, podrán alegar la existencia de un régimen especial o preferente para incumplir las disposiciones establecidas en esta Ley</w:t>
      </w:r>
      <w:r>
        <w:rPr>
          <w:sz w:val="24"/>
          <w:szCs w:val="24"/>
        </w:rPr>
        <w:t xml:space="preserve">, establece el documento aprobado en </w:t>
      </w:r>
      <w:r w:rsidR="00AD1692">
        <w:rPr>
          <w:sz w:val="24"/>
          <w:szCs w:val="24"/>
        </w:rPr>
        <w:t xml:space="preserve">2018 y que entraría en vigencia en 2020. </w:t>
      </w:r>
    </w:p>
    <w:p w14:paraId="7C34AEA5" w14:textId="171DADEA" w:rsidR="003B7FEB" w:rsidRPr="00297211" w:rsidRDefault="001E7D72" w:rsidP="00935B53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Una vez entre en vigencia</w:t>
      </w:r>
      <w:r w:rsidR="00AD1692">
        <w:rPr>
          <w:rFonts w:cstheme="minorHAnsi"/>
          <w:sz w:val="24"/>
          <w:szCs w:val="24"/>
        </w:rPr>
        <w:t xml:space="preserve"> la </w:t>
      </w:r>
      <w:r w:rsidR="00F004ED" w:rsidRPr="00FA7453">
        <w:rPr>
          <w:rFonts w:cstheme="minorHAnsi"/>
          <w:sz w:val="24"/>
          <w:szCs w:val="24"/>
        </w:rPr>
        <w:t>Ley, el Ministerio de Trabajo y Previsión Social debe visitar las empresas</w:t>
      </w:r>
      <w:r w:rsidR="00F004ED" w:rsidRPr="00297211">
        <w:rPr>
          <w:rFonts w:cstheme="minorHAnsi"/>
          <w:sz w:val="24"/>
          <w:szCs w:val="24"/>
        </w:rPr>
        <w:t xml:space="preserve"> e instituciones públicas llamadas a crear guarderías</w:t>
      </w:r>
      <w:r w:rsidR="00AD1692">
        <w:rPr>
          <w:rFonts w:cstheme="minorHAnsi"/>
          <w:sz w:val="24"/>
          <w:szCs w:val="24"/>
        </w:rPr>
        <w:t xml:space="preserve"> o centros de cuidado para la niñez, para</w:t>
      </w:r>
      <w:r w:rsidR="00F004ED" w:rsidRPr="00297211">
        <w:rPr>
          <w:rFonts w:cstheme="minorHAnsi"/>
          <w:sz w:val="24"/>
          <w:szCs w:val="24"/>
        </w:rPr>
        <w:t xml:space="preserve"> verificar que se estén tomando las medidas necesarias para cumplir con l</w:t>
      </w:r>
      <w:r>
        <w:rPr>
          <w:rFonts w:cstheme="minorHAnsi"/>
          <w:sz w:val="24"/>
          <w:szCs w:val="24"/>
        </w:rPr>
        <w:t>a Ley</w:t>
      </w:r>
      <w:r w:rsidR="00F004ED" w:rsidRPr="00297211">
        <w:rPr>
          <w:rFonts w:cstheme="minorHAnsi"/>
          <w:sz w:val="24"/>
          <w:szCs w:val="24"/>
        </w:rPr>
        <w:t>. Asimismo,</w:t>
      </w:r>
      <w:r>
        <w:rPr>
          <w:rFonts w:cstheme="minorHAnsi"/>
          <w:sz w:val="24"/>
          <w:szCs w:val="24"/>
        </w:rPr>
        <w:t xml:space="preserve"> una vez implementada la Ley, la CEPAL recomienda </w:t>
      </w:r>
      <w:r w:rsidR="00F004ED" w:rsidRPr="00297211">
        <w:rPr>
          <w:rFonts w:cstheme="minorHAnsi"/>
          <w:sz w:val="24"/>
          <w:szCs w:val="24"/>
        </w:rPr>
        <w:t>ampliar la edad máxima para</w:t>
      </w:r>
      <w:r>
        <w:rPr>
          <w:rFonts w:cstheme="minorHAnsi"/>
          <w:sz w:val="24"/>
          <w:szCs w:val="24"/>
        </w:rPr>
        <w:t xml:space="preserve"> la aceptación de niños y niñas en centros de cuidado,</w:t>
      </w:r>
      <w:r w:rsidR="00F004ED" w:rsidRPr="00297211">
        <w:rPr>
          <w:rFonts w:cstheme="minorHAnsi"/>
          <w:sz w:val="24"/>
          <w:szCs w:val="24"/>
        </w:rPr>
        <w:t xml:space="preserve"> que por el momento es de tres años</w:t>
      </w:r>
      <w:r w:rsidR="000E67CD">
        <w:rPr>
          <w:rFonts w:cstheme="minorHAnsi"/>
          <w:sz w:val="24"/>
          <w:szCs w:val="24"/>
        </w:rPr>
        <w:t>.</w:t>
      </w:r>
    </w:p>
    <w:p w14:paraId="086C93AE" w14:textId="3149CD96" w:rsidR="00BE54DA" w:rsidRDefault="001B6647" w:rsidP="00935B53">
      <w:pPr>
        <w:jc w:val="both"/>
        <w:rPr>
          <w:sz w:val="24"/>
          <w:szCs w:val="24"/>
        </w:rPr>
      </w:pPr>
      <w:r>
        <w:rPr>
          <w:sz w:val="24"/>
          <w:szCs w:val="24"/>
        </w:rPr>
        <w:t>De acuerdo al texto de la le</w:t>
      </w:r>
      <w:r w:rsidR="00BE54DA">
        <w:rPr>
          <w:sz w:val="24"/>
          <w:szCs w:val="24"/>
        </w:rPr>
        <w:t xml:space="preserve">y, el cumplimiento puede darse </w:t>
      </w:r>
      <w:r w:rsidR="002E17F0" w:rsidRPr="00FA5717">
        <w:rPr>
          <w:sz w:val="24"/>
          <w:szCs w:val="24"/>
        </w:rPr>
        <w:t>haciendo uso de una o varias de las siguientes modalidades</w:t>
      </w:r>
      <w:r w:rsidR="00107562">
        <w:rPr>
          <w:sz w:val="24"/>
          <w:szCs w:val="24"/>
        </w:rPr>
        <w:t xml:space="preserve"> en el art.6</w:t>
      </w:r>
      <w:r w:rsidR="002E17F0" w:rsidRPr="00FA5717">
        <w:rPr>
          <w:sz w:val="24"/>
          <w:szCs w:val="24"/>
        </w:rPr>
        <w:t>:</w:t>
      </w:r>
    </w:p>
    <w:p w14:paraId="7D766A1F" w14:textId="393BE260" w:rsidR="00BE54DA" w:rsidRDefault="00D37BDB" w:rsidP="00935B53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SV"/>
        </w:rPr>
        <w:drawing>
          <wp:inline distT="0" distB="0" distL="0" distR="0" wp14:anchorId="3FA559C1" wp14:editId="776BD8DF">
            <wp:extent cx="5486400" cy="2264805"/>
            <wp:effectExtent l="0" t="57150" r="76200" b="40640"/>
            <wp:docPr id="11" name="Diagrama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B78B5F8" w14:textId="25AC6A76" w:rsidR="001D1E68" w:rsidRPr="00FA5717" w:rsidRDefault="002E17F0" w:rsidP="00935B53">
      <w:pPr>
        <w:jc w:val="both"/>
        <w:rPr>
          <w:sz w:val="24"/>
          <w:szCs w:val="24"/>
        </w:rPr>
      </w:pPr>
      <w:r w:rsidRPr="00FA5717">
        <w:rPr>
          <w:sz w:val="24"/>
          <w:szCs w:val="24"/>
        </w:rPr>
        <w:lastRenderedPageBreak/>
        <w:t>Los costos en que estos centros incurran exclusivamente en conce</w:t>
      </w:r>
      <w:r w:rsidR="005A37C7">
        <w:rPr>
          <w:sz w:val="24"/>
          <w:szCs w:val="24"/>
        </w:rPr>
        <w:t>pto de cuido y supervisión de la niñez, serán pagados directamente por la patronal</w:t>
      </w:r>
      <w:r w:rsidRPr="00FA5717">
        <w:rPr>
          <w:sz w:val="24"/>
          <w:szCs w:val="24"/>
        </w:rPr>
        <w:t xml:space="preserve"> a las salas cunas y lugar de custodia que</w:t>
      </w:r>
      <w:r w:rsidR="00AE7F81">
        <w:rPr>
          <w:sz w:val="24"/>
          <w:szCs w:val="24"/>
        </w:rPr>
        <w:t xml:space="preserve"> le preste el servicio. Es de </w:t>
      </w:r>
      <w:r w:rsidRPr="00FA5717">
        <w:rPr>
          <w:sz w:val="24"/>
          <w:szCs w:val="24"/>
        </w:rPr>
        <w:t>exclusiva</w:t>
      </w:r>
      <w:r w:rsidR="00AE7F81">
        <w:rPr>
          <w:sz w:val="24"/>
          <w:szCs w:val="24"/>
        </w:rPr>
        <w:t xml:space="preserve"> responsabilidad de la patronal</w:t>
      </w:r>
      <w:r w:rsidRPr="00FA5717">
        <w:rPr>
          <w:sz w:val="24"/>
          <w:szCs w:val="24"/>
        </w:rPr>
        <w:t xml:space="preserve"> definir la o las modalidades por medio de las cuales</w:t>
      </w:r>
      <w:r w:rsidR="00AE7F81">
        <w:rPr>
          <w:sz w:val="24"/>
          <w:szCs w:val="24"/>
        </w:rPr>
        <w:t xml:space="preserve"> dará cumplimiento a la Ley, la persona </w:t>
      </w:r>
      <w:r w:rsidRPr="00FA5717">
        <w:rPr>
          <w:sz w:val="24"/>
          <w:szCs w:val="24"/>
        </w:rPr>
        <w:t>trabajador</w:t>
      </w:r>
      <w:r w:rsidR="00AE7F81">
        <w:rPr>
          <w:sz w:val="24"/>
          <w:szCs w:val="24"/>
        </w:rPr>
        <w:t>a</w:t>
      </w:r>
      <w:r w:rsidRPr="00FA5717">
        <w:rPr>
          <w:sz w:val="24"/>
          <w:szCs w:val="24"/>
        </w:rPr>
        <w:t xml:space="preserve"> </w:t>
      </w:r>
      <w:r w:rsidR="00AE7F81">
        <w:rPr>
          <w:sz w:val="24"/>
          <w:szCs w:val="24"/>
        </w:rPr>
        <w:t xml:space="preserve">debe </w:t>
      </w:r>
      <w:r w:rsidRPr="00FA5717">
        <w:rPr>
          <w:sz w:val="24"/>
          <w:szCs w:val="24"/>
        </w:rPr>
        <w:t xml:space="preserve">acogerse a </w:t>
      </w:r>
      <w:r w:rsidR="00AE7F81">
        <w:rPr>
          <w:sz w:val="24"/>
          <w:szCs w:val="24"/>
        </w:rPr>
        <w:t>la modalidad implementada por la patronal</w:t>
      </w:r>
      <w:r w:rsidRPr="00FA5717">
        <w:rPr>
          <w:sz w:val="24"/>
          <w:szCs w:val="24"/>
        </w:rPr>
        <w:t>.</w:t>
      </w:r>
    </w:p>
    <w:p w14:paraId="7CDA507E" w14:textId="77777777" w:rsidR="009D714D" w:rsidRDefault="00935B53" w:rsidP="00B81EDD">
      <w:pPr>
        <w:jc w:val="both"/>
        <w:rPr>
          <w:sz w:val="24"/>
          <w:szCs w:val="24"/>
        </w:rPr>
      </w:pPr>
      <w:r w:rsidRPr="00FA5717">
        <w:rPr>
          <w:sz w:val="24"/>
          <w:szCs w:val="24"/>
        </w:rPr>
        <w:t>La Ley comprende incentivos fiscales para su cumplimiento, ya que el Art. 12, indica que “l</w:t>
      </w:r>
      <w:r w:rsidRPr="00FA5717">
        <w:rPr>
          <w:sz w:val="24"/>
          <w:szCs w:val="24"/>
        </w:rPr>
        <w:t>os costos en que incurra el patrono relacionados a las modalidades establecidas en el artículo 6, literales a) y b) de la presente Ley, serán deducibles del impuesto sobre la renta, únicamente cuando se trate de los gastos generados a raíz de la construcción y equipamiento de las salas cunas y lugares de custodia</w:t>
      </w:r>
      <w:r w:rsidR="00AD6942" w:rsidRPr="00FA5717">
        <w:rPr>
          <w:sz w:val="24"/>
          <w:szCs w:val="24"/>
        </w:rPr>
        <w:t>”</w:t>
      </w:r>
      <w:r w:rsidR="002365D5">
        <w:rPr>
          <w:rStyle w:val="Refdenotaalpie"/>
          <w:sz w:val="24"/>
          <w:szCs w:val="24"/>
        </w:rPr>
        <w:footnoteReference w:id="2"/>
      </w:r>
      <w:r w:rsidR="00AD6942" w:rsidRPr="00FA5717">
        <w:rPr>
          <w:sz w:val="24"/>
          <w:szCs w:val="24"/>
        </w:rPr>
        <w:t>.</w:t>
      </w:r>
    </w:p>
    <w:p w14:paraId="7F8E33A3" w14:textId="7A26307D" w:rsidR="000536AB" w:rsidRPr="007C11FD" w:rsidRDefault="00B81EDD" w:rsidP="00B81EDD">
      <w:pPr>
        <w:jc w:val="both"/>
        <w:rPr>
          <w:sz w:val="24"/>
          <w:szCs w:val="24"/>
        </w:rPr>
      </w:pPr>
      <w:r w:rsidRPr="00A7632C">
        <w:rPr>
          <w:sz w:val="24"/>
          <w:szCs w:val="24"/>
        </w:rPr>
        <w:t xml:space="preserve">ORMUSA, como parte de la </w:t>
      </w:r>
      <w:r w:rsidRPr="00A7632C">
        <w:rPr>
          <w:sz w:val="24"/>
          <w:szCs w:val="24"/>
        </w:rPr>
        <w:t>Concertación por un Empleo D</w:t>
      </w:r>
      <w:r w:rsidRPr="00A7632C">
        <w:rPr>
          <w:sz w:val="24"/>
          <w:szCs w:val="24"/>
        </w:rPr>
        <w:t>igno para las Mujeres (CEDM), ha</w:t>
      </w:r>
      <w:r w:rsidR="00A7632C" w:rsidRPr="00A7632C">
        <w:rPr>
          <w:sz w:val="24"/>
          <w:szCs w:val="24"/>
        </w:rPr>
        <w:t xml:space="preserve"> realizado esfuerzos desde hace varios años para visibilizar el aporte de las mujeres a las </w:t>
      </w:r>
      <w:r w:rsidR="009D714D">
        <w:rPr>
          <w:sz w:val="24"/>
          <w:szCs w:val="24"/>
        </w:rPr>
        <w:t>tareas de cuidado y gestión del hogar, ya que</w:t>
      </w:r>
      <w:r w:rsidRPr="00A7632C">
        <w:rPr>
          <w:sz w:val="24"/>
          <w:szCs w:val="24"/>
        </w:rPr>
        <w:t xml:space="preserve"> tanto padres y madres deben contar con servicios sociales de apoyo que les permita combinar las obligaciones familiares con las responsabilidades del trabajo y la participación en la vida pública.</w:t>
      </w:r>
      <w:r w:rsidR="007C11FD">
        <w:rPr>
          <w:sz w:val="24"/>
          <w:szCs w:val="24"/>
        </w:rPr>
        <w:t xml:space="preserve"> </w:t>
      </w:r>
      <w:r w:rsidR="00F53D8A">
        <w:rPr>
          <w:rFonts w:cstheme="minorHAnsi"/>
          <w:sz w:val="24"/>
          <w:szCs w:val="24"/>
        </w:rPr>
        <w:t xml:space="preserve">Asimismo, </w:t>
      </w:r>
      <w:r w:rsidR="000536AB" w:rsidRPr="000536AB">
        <w:rPr>
          <w:rFonts w:cstheme="minorHAnsi"/>
          <w:sz w:val="24"/>
          <w:szCs w:val="24"/>
        </w:rPr>
        <w:t>la CEDM y el Grupo de las Américas copa</w:t>
      </w:r>
      <w:r w:rsidR="00F53D8A">
        <w:rPr>
          <w:rFonts w:cstheme="minorHAnsi"/>
          <w:sz w:val="24"/>
          <w:szCs w:val="24"/>
        </w:rPr>
        <w:t>trocinaron un conversatorio con marcas internacionales,</w:t>
      </w:r>
      <w:r w:rsidR="000536AB" w:rsidRPr="000536AB">
        <w:rPr>
          <w:rFonts w:cstheme="minorHAnsi"/>
          <w:sz w:val="24"/>
          <w:szCs w:val="24"/>
        </w:rPr>
        <w:t xml:space="preserve"> manufactureras y proveedoras s</w:t>
      </w:r>
      <w:r w:rsidR="00F53D8A">
        <w:rPr>
          <w:rFonts w:cstheme="minorHAnsi"/>
          <w:sz w:val="24"/>
          <w:szCs w:val="24"/>
        </w:rPr>
        <w:t>obre las implicaciones de la ley para el sector empleador y trabajador</w:t>
      </w:r>
      <w:r w:rsidR="007C11FD" w:rsidRPr="00A7632C">
        <w:rPr>
          <w:rStyle w:val="Refdenotaalpie"/>
          <w:sz w:val="24"/>
          <w:szCs w:val="24"/>
        </w:rPr>
        <w:footnoteReference w:id="3"/>
      </w:r>
      <w:bookmarkStart w:id="0" w:name="_GoBack"/>
      <w:bookmarkEnd w:id="0"/>
      <w:r w:rsidR="00F53D8A">
        <w:rPr>
          <w:rFonts w:cstheme="minorHAnsi"/>
          <w:sz w:val="24"/>
          <w:szCs w:val="24"/>
        </w:rPr>
        <w:t xml:space="preserve">. </w:t>
      </w:r>
    </w:p>
    <w:p w14:paraId="1388D269" w14:textId="1FB4F556" w:rsidR="00547157" w:rsidRPr="00486E7D" w:rsidRDefault="00657538" w:rsidP="002C77D9">
      <w:pPr>
        <w:spacing w:line="360" w:lineRule="auto"/>
        <w:jc w:val="center"/>
        <w:rPr>
          <w:rFonts w:cstheme="minorHAnsi"/>
          <w:b/>
          <w:bCs/>
          <w:sz w:val="28"/>
          <w:szCs w:val="24"/>
        </w:rPr>
      </w:pPr>
      <w:r w:rsidRPr="00486E7D">
        <w:rPr>
          <w:rFonts w:cstheme="minorHAnsi"/>
          <w:b/>
          <w:bCs/>
          <w:sz w:val="28"/>
          <w:szCs w:val="24"/>
        </w:rPr>
        <w:t>Situación del trabajo del hogar y de cuidados no remunerados en El Salvador</w:t>
      </w:r>
    </w:p>
    <w:p w14:paraId="4E4ED096" w14:textId="7087B072" w:rsidR="005A21A3" w:rsidRDefault="002A2C06" w:rsidP="00972C2A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62336" behindDoc="1" locked="0" layoutInCell="1" allowOverlap="1" wp14:anchorId="5491137B" wp14:editId="64C17A74">
            <wp:simplePos x="0" y="0"/>
            <wp:positionH relativeFrom="column">
              <wp:posOffset>3703320</wp:posOffset>
            </wp:positionH>
            <wp:positionV relativeFrom="paragraph">
              <wp:posOffset>3175</wp:posOffset>
            </wp:positionV>
            <wp:extent cx="2160905" cy="2412365"/>
            <wp:effectExtent l="0" t="0" r="0" b="6985"/>
            <wp:wrapTight wrapText="bothSides">
              <wp:wrapPolygon edited="0">
                <wp:start x="0" y="0"/>
                <wp:lineTo x="0" y="21492"/>
                <wp:lineTo x="21327" y="21492"/>
                <wp:lineTo x="2132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12" t="20153" r="33719" b="8040"/>
                    <a:stretch/>
                  </pic:blipFill>
                  <pic:spPr bwMode="auto">
                    <a:xfrm>
                      <a:off x="0" y="0"/>
                      <a:ext cx="2160905" cy="24123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1E2F">
        <w:rPr>
          <w:rFonts w:cstheme="minorHAnsi"/>
          <w:sz w:val="24"/>
          <w:szCs w:val="24"/>
        </w:rPr>
        <w:t>Estudios</w:t>
      </w:r>
      <w:r w:rsidR="00730A16">
        <w:rPr>
          <w:rFonts w:cstheme="minorHAnsi"/>
          <w:sz w:val="24"/>
          <w:szCs w:val="24"/>
        </w:rPr>
        <w:t xml:space="preserve"> de la </w:t>
      </w:r>
      <w:r w:rsidR="001460ED" w:rsidRPr="00297970">
        <w:rPr>
          <w:rFonts w:cstheme="minorHAnsi"/>
          <w:sz w:val="24"/>
          <w:szCs w:val="24"/>
        </w:rPr>
        <w:t>Comisión Económica para Amé</w:t>
      </w:r>
      <w:r w:rsidR="001460ED">
        <w:rPr>
          <w:rFonts w:cstheme="minorHAnsi"/>
          <w:sz w:val="24"/>
          <w:szCs w:val="24"/>
        </w:rPr>
        <w:t>rica Latina y el Caribe (CEPAL),</w:t>
      </w:r>
      <w:r w:rsidR="00751E2F">
        <w:rPr>
          <w:rFonts w:cstheme="minorHAnsi"/>
          <w:sz w:val="24"/>
          <w:szCs w:val="24"/>
        </w:rPr>
        <w:t xml:space="preserve"> reiteran que </w:t>
      </w:r>
      <w:r w:rsidR="00CC27DD">
        <w:rPr>
          <w:rFonts w:cstheme="minorHAnsi"/>
          <w:sz w:val="24"/>
          <w:szCs w:val="24"/>
        </w:rPr>
        <w:t xml:space="preserve">es indispensable </w:t>
      </w:r>
      <w:r w:rsidR="00751E2F">
        <w:rPr>
          <w:rFonts w:cstheme="minorHAnsi"/>
          <w:sz w:val="24"/>
          <w:szCs w:val="24"/>
        </w:rPr>
        <w:t>v</w:t>
      </w:r>
      <w:r w:rsidR="00B53DE6" w:rsidRPr="00297970">
        <w:rPr>
          <w:rFonts w:cstheme="minorHAnsi"/>
          <w:sz w:val="24"/>
          <w:szCs w:val="24"/>
        </w:rPr>
        <w:t>isibilizar los aportes del trabajo productivo no remunerado a la economía salvadoreña</w:t>
      </w:r>
      <w:r w:rsidR="00CC27DD">
        <w:rPr>
          <w:rFonts w:cstheme="minorHAnsi"/>
          <w:sz w:val="24"/>
          <w:szCs w:val="24"/>
        </w:rPr>
        <w:t xml:space="preserve">, ya que es un indicador clave dentro del </w:t>
      </w:r>
      <w:r w:rsidR="00B53DE6" w:rsidRPr="00297970">
        <w:rPr>
          <w:rFonts w:cstheme="minorHAnsi"/>
          <w:sz w:val="24"/>
          <w:szCs w:val="24"/>
        </w:rPr>
        <w:t>trabajo realizado por l</w:t>
      </w:r>
      <w:r w:rsidR="00CC27DD">
        <w:rPr>
          <w:rFonts w:cstheme="minorHAnsi"/>
          <w:sz w:val="24"/>
          <w:szCs w:val="24"/>
        </w:rPr>
        <w:t>as</w:t>
      </w:r>
      <w:r w:rsidR="001650E9">
        <w:rPr>
          <w:rFonts w:cstheme="minorHAnsi"/>
          <w:sz w:val="24"/>
          <w:szCs w:val="24"/>
        </w:rPr>
        <w:t xml:space="preserve"> mujeres y para la igualdad de género.</w:t>
      </w:r>
      <w:r w:rsidR="00972C2A" w:rsidRPr="00972C2A">
        <w:rPr>
          <w:rFonts w:cstheme="minorHAnsi"/>
          <w:sz w:val="24"/>
          <w:szCs w:val="24"/>
        </w:rPr>
        <w:t xml:space="preserve"> </w:t>
      </w:r>
    </w:p>
    <w:p w14:paraId="2C950934" w14:textId="0B0C27A1" w:rsidR="00972C2A" w:rsidRPr="00972C2A" w:rsidRDefault="00972C2A" w:rsidP="00972C2A">
      <w:pPr>
        <w:spacing w:line="360" w:lineRule="auto"/>
        <w:jc w:val="both"/>
        <w:rPr>
          <w:rFonts w:cstheme="minorHAnsi"/>
          <w:sz w:val="24"/>
          <w:szCs w:val="24"/>
        </w:rPr>
      </w:pPr>
      <w:r w:rsidRPr="00972C2A">
        <w:rPr>
          <w:rFonts w:cstheme="minorHAnsi"/>
          <w:sz w:val="24"/>
          <w:szCs w:val="24"/>
        </w:rPr>
        <w:lastRenderedPageBreak/>
        <w:t>Además de reconocer el aporte de las mujeres mediante el trabajo de cuidado y del hogar, El Salvador debe</w:t>
      </w:r>
      <w:r w:rsidR="00894D43">
        <w:rPr>
          <w:rFonts w:cstheme="minorHAnsi"/>
          <w:sz w:val="24"/>
          <w:szCs w:val="24"/>
        </w:rPr>
        <w:t xml:space="preserve"> implementar medidas como:</w:t>
      </w:r>
      <w:r w:rsidRPr="00972C2A">
        <w:rPr>
          <w:rStyle w:val="Refdenotaalpie"/>
          <w:rFonts w:cstheme="minorHAnsi"/>
          <w:sz w:val="24"/>
          <w:szCs w:val="24"/>
        </w:rPr>
        <w:footnoteReference w:id="4"/>
      </w:r>
      <w:r w:rsidRPr="00972C2A">
        <w:rPr>
          <w:rFonts w:cstheme="minorHAnsi"/>
          <w:sz w:val="24"/>
          <w:szCs w:val="24"/>
        </w:rPr>
        <w:t>.</w:t>
      </w:r>
    </w:p>
    <w:p w14:paraId="64277D61" w14:textId="3AFCECB5" w:rsidR="00CC27DD" w:rsidRDefault="00972C2A" w:rsidP="00B53DE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SV"/>
        </w:rPr>
        <w:drawing>
          <wp:inline distT="0" distB="0" distL="0" distR="0" wp14:anchorId="1411A603" wp14:editId="614A7FE5">
            <wp:extent cx="5800725" cy="1126347"/>
            <wp:effectExtent l="76200" t="0" r="66675" b="0"/>
            <wp:docPr id="7" name="Diagrama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0347F009" w14:textId="77777777" w:rsidR="00AF37B2" w:rsidRDefault="008400B8" w:rsidP="00220CF6">
      <w:pPr>
        <w:spacing w:line="360" w:lineRule="auto"/>
        <w:jc w:val="both"/>
        <w:rPr>
          <w:sz w:val="24"/>
          <w:szCs w:val="24"/>
        </w:rPr>
      </w:pPr>
      <w:r w:rsidRPr="007043C3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B53B0EE" wp14:editId="391F1114">
                <wp:simplePos x="0" y="0"/>
                <wp:positionH relativeFrom="column">
                  <wp:posOffset>3542665</wp:posOffset>
                </wp:positionH>
                <wp:positionV relativeFrom="paragraph">
                  <wp:posOffset>29845</wp:posOffset>
                </wp:positionV>
                <wp:extent cx="2162810" cy="1404620"/>
                <wp:effectExtent l="0" t="0" r="8890" b="88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810" cy="14046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461C1" w14:textId="11929CAC" w:rsidR="00DA4D5B" w:rsidRPr="00297970" w:rsidRDefault="00BF759D" w:rsidP="00297970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2979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E</w:t>
                            </w:r>
                            <w:r w:rsidR="00DA4D5B" w:rsidRPr="002979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n el año 2019, el 16.4% de las adolescentes y</w:t>
                            </w:r>
                            <w:r w:rsidRPr="002979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jóvenes de 16 a 18 años</w:t>
                            </w:r>
                            <w:r w:rsidR="00DA4D5B" w:rsidRPr="002979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, edad oficial para</w:t>
                            </w:r>
                            <w:r w:rsidR="00F70D82" w:rsidRPr="002979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cursar</w:t>
                            </w:r>
                            <w:r w:rsidR="00DA4D5B" w:rsidRPr="002979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bachillerato que no asistió a ningún nivel educativo en ese año, argumentaron que fue por causa del trabajo del hogar y cuidado; mientras que esta misma justificación en hombres solo representó el 0.3%</w:t>
                            </w:r>
                            <w:r w:rsidR="00702439" w:rsidRPr="002979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(EHPM, 2019)</w:t>
                            </w:r>
                            <w:r w:rsidR="00DA4D5B" w:rsidRPr="00297970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53B0EE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78.95pt;margin-top:2.35pt;width:170.3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" fillcolor="#e2efd9 [665]" stroked="f">
                <v:textbox style="mso-fit-shape-to-text:t">
                  <w:txbxContent>
                    <w:p w14:paraId="54E461C1" w14:textId="11929CAC" w:rsidR="00DA4D5B" w:rsidRPr="00297970" w:rsidRDefault="00BF759D" w:rsidP="00297970">
                      <w:pPr>
                        <w:jc w:val="center"/>
                        <w:rPr>
                          <w:rFonts w:cstheme="minorHAnsi"/>
                        </w:rPr>
                      </w:pPr>
                      <w:r w:rsidRPr="00297970">
                        <w:rPr>
                          <w:rFonts w:cstheme="minorHAnsi"/>
                          <w:sz w:val="24"/>
                          <w:szCs w:val="24"/>
                        </w:rPr>
                        <w:t>E</w:t>
                      </w:r>
                      <w:r w:rsidR="00DA4D5B" w:rsidRPr="00297970">
                        <w:rPr>
                          <w:rFonts w:cstheme="minorHAnsi"/>
                          <w:sz w:val="24"/>
                          <w:szCs w:val="24"/>
                        </w:rPr>
                        <w:t>n el año 2019, el 16.4% de las adolescentes y</w:t>
                      </w:r>
                      <w:r w:rsidRPr="00297970">
                        <w:rPr>
                          <w:rFonts w:cstheme="minorHAnsi"/>
                          <w:sz w:val="24"/>
                          <w:szCs w:val="24"/>
                        </w:rPr>
                        <w:t xml:space="preserve"> jóvenes de 16 a 18 años</w:t>
                      </w:r>
                      <w:r w:rsidR="00DA4D5B" w:rsidRPr="00297970">
                        <w:rPr>
                          <w:rFonts w:cstheme="minorHAnsi"/>
                          <w:sz w:val="24"/>
                          <w:szCs w:val="24"/>
                        </w:rPr>
                        <w:t>, edad oficial para</w:t>
                      </w:r>
                      <w:r w:rsidR="00F70D82" w:rsidRPr="00297970">
                        <w:rPr>
                          <w:rFonts w:cstheme="minorHAnsi"/>
                          <w:sz w:val="24"/>
                          <w:szCs w:val="24"/>
                        </w:rPr>
                        <w:t xml:space="preserve"> cursar</w:t>
                      </w:r>
                      <w:r w:rsidR="00DA4D5B" w:rsidRPr="00297970">
                        <w:rPr>
                          <w:rFonts w:cstheme="minorHAnsi"/>
                          <w:sz w:val="24"/>
                          <w:szCs w:val="24"/>
                        </w:rPr>
                        <w:t xml:space="preserve"> bachillerato que no asistió a ningún nivel educativo en ese año, argumentaron que fue por causa del trabajo del hogar y cuidado; mientras que esta misma justificación en hombres solo representó el 0.3%</w:t>
                      </w:r>
                      <w:r w:rsidR="00702439" w:rsidRPr="00297970">
                        <w:rPr>
                          <w:rFonts w:cstheme="minorHAnsi"/>
                          <w:sz w:val="24"/>
                          <w:szCs w:val="24"/>
                        </w:rPr>
                        <w:t xml:space="preserve"> (EHPM, 2019)</w:t>
                      </w:r>
                      <w:r w:rsidR="00DA4D5B" w:rsidRPr="00297970">
                        <w:rPr>
                          <w:rFonts w:cstheme="minorHAnsi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60ED" w:rsidRPr="007D11E6">
        <w:rPr>
          <w:rFonts w:cstheme="minorHAnsi"/>
          <w:sz w:val="24"/>
          <w:szCs w:val="24"/>
        </w:rPr>
        <w:t>En El Salvador y otros países de la región,</w:t>
      </w:r>
      <w:r w:rsidR="001E64FE" w:rsidRPr="007D11E6">
        <w:rPr>
          <w:rFonts w:cstheme="minorHAnsi"/>
          <w:sz w:val="24"/>
          <w:szCs w:val="24"/>
        </w:rPr>
        <w:t xml:space="preserve"> las mujeres</w:t>
      </w:r>
      <w:r w:rsidR="00220CF6" w:rsidRPr="007D11E6">
        <w:rPr>
          <w:rFonts w:cstheme="minorHAnsi"/>
          <w:sz w:val="24"/>
          <w:szCs w:val="24"/>
        </w:rPr>
        <w:t xml:space="preserve"> destinan más </w:t>
      </w:r>
      <w:r w:rsidR="00220CF6" w:rsidRPr="00AC7939">
        <w:rPr>
          <w:rFonts w:cstheme="minorHAnsi"/>
          <w:sz w:val="24"/>
          <w:szCs w:val="24"/>
        </w:rPr>
        <w:t>tiempo que los hombres al trabajo d</w:t>
      </w:r>
      <w:r w:rsidR="00D312F9" w:rsidRPr="00AC7939">
        <w:rPr>
          <w:rFonts w:cstheme="minorHAnsi"/>
          <w:sz w:val="24"/>
          <w:szCs w:val="24"/>
        </w:rPr>
        <w:t>el hogar</w:t>
      </w:r>
      <w:r w:rsidR="00220CF6" w:rsidRPr="00AC7939">
        <w:rPr>
          <w:rFonts w:cstheme="minorHAnsi"/>
          <w:sz w:val="24"/>
          <w:szCs w:val="24"/>
        </w:rPr>
        <w:t xml:space="preserve"> y de cuidados no remunerado. Esta sobrecarga de trabajo no re</w:t>
      </w:r>
      <w:r w:rsidR="001E64FE" w:rsidRPr="00AC7939">
        <w:rPr>
          <w:rFonts w:cstheme="minorHAnsi"/>
          <w:sz w:val="24"/>
          <w:szCs w:val="24"/>
        </w:rPr>
        <w:t xml:space="preserve">munerado que asumen las mujeres, </w:t>
      </w:r>
      <w:r w:rsidR="00220CF6" w:rsidRPr="00AC7939">
        <w:rPr>
          <w:rFonts w:cstheme="minorHAnsi"/>
          <w:sz w:val="24"/>
          <w:szCs w:val="24"/>
        </w:rPr>
        <w:t xml:space="preserve">afecta a su autonomía económica, al limitar </w:t>
      </w:r>
      <w:r w:rsidR="001E64FE" w:rsidRPr="00AC7939">
        <w:rPr>
          <w:rFonts w:cstheme="minorHAnsi"/>
          <w:sz w:val="24"/>
          <w:szCs w:val="24"/>
        </w:rPr>
        <w:t xml:space="preserve">su participación en </w:t>
      </w:r>
      <w:r w:rsidR="00220CF6" w:rsidRPr="00AC7939">
        <w:rPr>
          <w:rFonts w:cstheme="minorHAnsi"/>
          <w:sz w:val="24"/>
          <w:szCs w:val="24"/>
        </w:rPr>
        <w:t>el empleo</w:t>
      </w:r>
      <w:r w:rsidR="007043C3" w:rsidRPr="00AC7939">
        <w:rPr>
          <w:rFonts w:cstheme="minorHAnsi"/>
          <w:sz w:val="24"/>
          <w:szCs w:val="24"/>
        </w:rPr>
        <w:t xml:space="preserve">, </w:t>
      </w:r>
      <w:r w:rsidR="007043C3" w:rsidRPr="00AC7939">
        <w:rPr>
          <w:sz w:val="24"/>
          <w:szCs w:val="24"/>
        </w:rPr>
        <w:t>reduce sus posibilidades de generar ingresos propios y restringe su acceso a la segur</w:t>
      </w:r>
      <w:r w:rsidR="00BE44B1" w:rsidRPr="00AC7939">
        <w:rPr>
          <w:sz w:val="24"/>
          <w:szCs w:val="24"/>
        </w:rPr>
        <w:t>idad social</w:t>
      </w:r>
      <w:r w:rsidR="00AF37B2" w:rsidRPr="00AC7939">
        <w:rPr>
          <w:rStyle w:val="Refdenotaalpie"/>
          <w:rFonts w:cstheme="minorHAnsi"/>
          <w:sz w:val="24"/>
          <w:szCs w:val="24"/>
        </w:rPr>
        <w:footnoteReference w:id="5"/>
      </w:r>
      <w:r w:rsidR="00BE44B1" w:rsidRPr="00AC7939">
        <w:rPr>
          <w:sz w:val="24"/>
          <w:szCs w:val="24"/>
        </w:rPr>
        <w:t>.</w:t>
      </w:r>
    </w:p>
    <w:p w14:paraId="0FE52393" w14:textId="2639F8D1" w:rsidR="006F1937" w:rsidRPr="007D11E6" w:rsidRDefault="001E64FE" w:rsidP="00220CF6">
      <w:pPr>
        <w:spacing w:line="360" w:lineRule="auto"/>
        <w:jc w:val="both"/>
        <w:rPr>
          <w:rFonts w:cstheme="minorHAnsi"/>
          <w:sz w:val="24"/>
          <w:szCs w:val="24"/>
        </w:rPr>
      </w:pPr>
      <w:r w:rsidRPr="00AC7939">
        <w:rPr>
          <w:rFonts w:cstheme="minorHAnsi"/>
          <w:sz w:val="24"/>
          <w:szCs w:val="24"/>
        </w:rPr>
        <w:t>E</w:t>
      </w:r>
      <w:r w:rsidR="0050067A">
        <w:rPr>
          <w:rFonts w:cstheme="minorHAnsi"/>
          <w:sz w:val="24"/>
          <w:szCs w:val="24"/>
        </w:rPr>
        <w:t>stimaciones de la CEPAL, indican que</w:t>
      </w:r>
      <w:r w:rsidR="00220CF6" w:rsidRPr="00AC7939">
        <w:rPr>
          <w:rFonts w:cstheme="minorHAnsi"/>
          <w:sz w:val="24"/>
          <w:szCs w:val="24"/>
        </w:rPr>
        <w:t xml:space="preserve"> </w:t>
      </w:r>
      <w:r w:rsidR="0050067A">
        <w:rPr>
          <w:rFonts w:cstheme="minorHAnsi"/>
          <w:sz w:val="24"/>
          <w:szCs w:val="24"/>
        </w:rPr>
        <w:t xml:space="preserve">en 2017, </w:t>
      </w:r>
      <w:r w:rsidR="00AC7939" w:rsidRPr="00AC7939">
        <w:rPr>
          <w:rFonts w:cstheme="minorHAnsi"/>
          <w:sz w:val="24"/>
          <w:szCs w:val="24"/>
        </w:rPr>
        <w:t>la</w:t>
      </w:r>
      <w:r w:rsidR="001C63FB">
        <w:rPr>
          <w:rFonts w:cstheme="minorHAnsi"/>
          <w:sz w:val="24"/>
          <w:szCs w:val="24"/>
        </w:rPr>
        <w:t>s mujeres dedicaban el 20.2% de tiempo a</w:t>
      </w:r>
      <w:r w:rsidR="00AC7939" w:rsidRPr="00AC7939">
        <w:rPr>
          <w:sz w:val="24"/>
          <w:szCs w:val="24"/>
        </w:rPr>
        <w:t xml:space="preserve"> quehaceres domésticos y cuidados no remunerados</w:t>
      </w:r>
      <w:r w:rsidR="00A234D0">
        <w:rPr>
          <w:sz w:val="24"/>
          <w:szCs w:val="24"/>
        </w:rPr>
        <w:t>, mientras que los hombres dedicaban solo el 7.7%</w:t>
      </w:r>
      <w:r w:rsidR="00220CF6" w:rsidRPr="00AC7939">
        <w:rPr>
          <w:rStyle w:val="Refdenotaalpie"/>
          <w:rFonts w:cstheme="minorHAnsi"/>
          <w:sz w:val="24"/>
          <w:szCs w:val="24"/>
        </w:rPr>
        <w:footnoteReference w:id="6"/>
      </w:r>
      <w:r w:rsidR="0050067A">
        <w:rPr>
          <w:rFonts w:cstheme="minorHAnsi"/>
          <w:sz w:val="24"/>
          <w:szCs w:val="24"/>
        </w:rPr>
        <w:t>.</w:t>
      </w:r>
    </w:p>
    <w:p w14:paraId="1798114F" w14:textId="5A415859" w:rsidR="00271761" w:rsidRPr="00D41F2D" w:rsidRDefault="00271761" w:rsidP="00271761">
      <w:pPr>
        <w:spacing w:line="360" w:lineRule="auto"/>
        <w:jc w:val="center"/>
        <w:rPr>
          <w:rFonts w:cstheme="minorHAnsi"/>
          <w:b/>
          <w:sz w:val="28"/>
          <w:szCs w:val="24"/>
        </w:rPr>
      </w:pPr>
      <w:r w:rsidRPr="00D41F2D">
        <w:rPr>
          <w:rFonts w:cstheme="minorHAnsi"/>
          <w:b/>
          <w:sz w:val="28"/>
          <w:szCs w:val="24"/>
        </w:rPr>
        <w:t>Desigualdades de género derivadas de la asignación exclusiva del trabajo reproductivo a las mujeres</w:t>
      </w:r>
    </w:p>
    <w:p w14:paraId="22BC7D1D" w14:textId="5C0048FC" w:rsidR="00981EE9" w:rsidRPr="00297970" w:rsidRDefault="00981EE9" w:rsidP="00981EE9">
      <w:pPr>
        <w:spacing w:line="360" w:lineRule="auto"/>
        <w:jc w:val="both"/>
        <w:rPr>
          <w:rFonts w:cstheme="minorHAnsi"/>
          <w:sz w:val="24"/>
          <w:szCs w:val="24"/>
        </w:rPr>
      </w:pPr>
      <w:r w:rsidRPr="00297970">
        <w:rPr>
          <w:rFonts w:cstheme="minorHAnsi"/>
          <w:sz w:val="24"/>
          <w:szCs w:val="24"/>
        </w:rPr>
        <w:t>El trabajo no remunerado ocasiona implicaciones negativas para las mujeres, entre ellas:</w:t>
      </w:r>
      <w:r w:rsidRPr="00297970">
        <w:rPr>
          <w:rStyle w:val="Refdenotaalpie"/>
          <w:rFonts w:cstheme="minorHAnsi"/>
          <w:sz w:val="24"/>
          <w:szCs w:val="24"/>
        </w:rPr>
        <w:footnoteReference w:id="7"/>
      </w:r>
    </w:p>
    <w:p w14:paraId="60A8461C" w14:textId="12D8440B" w:rsidR="00F03D5E" w:rsidRDefault="007B0F46" w:rsidP="00220CF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SV"/>
        </w:rPr>
        <w:lastRenderedPageBreak/>
        <w:drawing>
          <wp:inline distT="0" distB="0" distL="0" distR="0" wp14:anchorId="0DB7072E" wp14:editId="4659CA8B">
            <wp:extent cx="5649902" cy="1053679"/>
            <wp:effectExtent l="38100" t="0" r="8255" b="0"/>
            <wp:docPr id="9" name="Diagrama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14:paraId="1D523ABB" w14:textId="4AB45A4F" w:rsidR="00B529DC" w:rsidRDefault="00984222" w:rsidP="00220CF6">
      <w:pPr>
        <w:spacing w:line="360" w:lineRule="auto"/>
        <w:jc w:val="both"/>
        <w:rPr>
          <w:rFonts w:cstheme="minorHAnsi"/>
          <w:sz w:val="24"/>
          <w:szCs w:val="24"/>
        </w:rPr>
      </w:pPr>
      <w:r w:rsidRPr="00297970">
        <w:rPr>
          <w:rFonts w:cstheme="minorHAnsi"/>
          <w:sz w:val="24"/>
          <w:szCs w:val="24"/>
        </w:rPr>
        <w:t>E</w:t>
      </w:r>
      <w:r w:rsidR="00450E5A">
        <w:rPr>
          <w:rFonts w:cstheme="minorHAnsi"/>
          <w:sz w:val="24"/>
          <w:szCs w:val="24"/>
        </w:rPr>
        <w:t xml:space="preserve">l acceso a la educación también es impactado por el </w:t>
      </w:r>
      <w:r w:rsidR="00B529DC" w:rsidRPr="00297970">
        <w:rPr>
          <w:rFonts w:cstheme="minorHAnsi"/>
          <w:sz w:val="24"/>
          <w:szCs w:val="24"/>
        </w:rPr>
        <w:t xml:space="preserve">trabajo </w:t>
      </w:r>
      <w:r w:rsidR="00D312F9" w:rsidRPr="00297970">
        <w:rPr>
          <w:rFonts w:cstheme="minorHAnsi"/>
          <w:sz w:val="24"/>
          <w:szCs w:val="24"/>
        </w:rPr>
        <w:t>del hogar</w:t>
      </w:r>
      <w:r w:rsidR="00B529DC" w:rsidRPr="00297970">
        <w:rPr>
          <w:rFonts w:cstheme="minorHAnsi"/>
          <w:sz w:val="24"/>
          <w:szCs w:val="24"/>
        </w:rPr>
        <w:t xml:space="preserve"> y de cuidados no remuner</w:t>
      </w:r>
      <w:r w:rsidR="00450E5A">
        <w:rPr>
          <w:rFonts w:cstheme="minorHAnsi"/>
          <w:sz w:val="24"/>
          <w:szCs w:val="24"/>
        </w:rPr>
        <w:t>ados, ya que según</w:t>
      </w:r>
      <w:r w:rsidR="009A735C">
        <w:rPr>
          <w:rFonts w:cstheme="minorHAnsi"/>
          <w:sz w:val="24"/>
          <w:szCs w:val="24"/>
        </w:rPr>
        <w:t xml:space="preserve"> la </w:t>
      </w:r>
      <w:r w:rsidR="009A735C" w:rsidRPr="00297970">
        <w:rPr>
          <w:rFonts w:cstheme="minorHAnsi"/>
          <w:sz w:val="24"/>
          <w:szCs w:val="24"/>
        </w:rPr>
        <w:t>Encuesta de Hogares de Propósitos Múltiples (EHPM) 2019</w:t>
      </w:r>
      <w:r w:rsidR="00B529DC" w:rsidRPr="00297970">
        <w:rPr>
          <w:rFonts w:cstheme="minorHAnsi"/>
          <w:sz w:val="24"/>
          <w:szCs w:val="24"/>
        </w:rPr>
        <w:t>, el 16.4% de las adolescentes y</w:t>
      </w:r>
      <w:r w:rsidR="009A735C">
        <w:rPr>
          <w:rFonts w:cstheme="minorHAnsi"/>
          <w:sz w:val="24"/>
          <w:szCs w:val="24"/>
        </w:rPr>
        <w:t xml:space="preserve"> jóvenes de 16 a 18 años</w:t>
      </w:r>
      <w:r w:rsidR="00B529DC" w:rsidRPr="00297970">
        <w:rPr>
          <w:rFonts w:cstheme="minorHAnsi"/>
          <w:sz w:val="24"/>
          <w:szCs w:val="24"/>
        </w:rPr>
        <w:t>, edad oficial para</w:t>
      </w:r>
      <w:r w:rsidR="00981EE9">
        <w:rPr>
          <w:rFonts w:cstheme="minorHAnsi"/>
          <w:sz w:val="24"/>
          <w:szCs w:val="24"/>
        </w:rPr>
        <w:t xml:space="preserve"> cursar</w:t>
      </w:r>
      <w:r w:rsidR="00B529DC" w:rsidRPr="00297970">
        <w:rPr>
          <w:rFonts w:cstheme="minorHAnsi"/>
          <w:sz w:val="24"/>
          <w:szCs w:val="24"/>
        </w:rPr>
        <w:t xml:space="preserve"> bachillerato que no asistió a ningún nivel educativo en ese año, argumentaron que fue por causa del trabajo </w:t>
      </w:r>
      <w:r w:rsidR="00D312F9" w:rsidRPr="00297970">
        <w:rPr>
          <w:rFonts w:cstheme="minorHAnsi"/>
          <w:sz w:val="24"/>
          <w:szCs w:val="24"/>
        </w:rPr>
        <w:t>del hogar</w:t>
      </w:r>
      <w:r w:rsidR="00B529DC" w:rsidRPr="00297970">
        <w:rPr>
          <w:rFonts w:cstheme="minorHAnsi"/>
          <w:sz w:val="24"/>
          <w:szCs w:val="24"/>
        </w:rPr>
        <w:t xml:space="preserve"> y cuidado; mientras que esta misma justificación en hombres solo representó el 0.3%.</w:t>
      </w:r>
      <w:r w:rsidR="00B529DC" w:rsidRPr="00297970">
        <w:rPr>
          <w:rStyle w:val="Refdenotaalpie"/>
          <w:rFonts w:cstheme="minorHAnsi"/>
          <w:sz w:val="24"/>
          <w:szCs w:val="24"/>
        </w:rPr>
        <w:footnoteReference w:id="8"/>
      </w:r>
    </w:p>
    <w:p w14:paraId="6DCC1069" w14:textId="13E30944" w:rsidR="009930B5" w:rsidRPr="00297970" w:rsidRDefault="009A735C" w:rsidP="00220CF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Según la misma Encuesta,</w:t>
      </w:r>
      <w:r w:rsidR="00B65384" w:rsidRPr="00297970">
        <w:rPr>
          <w:rFonts w:cstheme="minorHAnsi"/>
          <w:sz w:val="24"/>
          <w:szCs w:val="24"/>
        </w:rPr>
        <w:t xml:space="preserve"> </w:t>
      </w:r>
      <w:r w:rsidR="009930B5" w:rsidRPr="00297970">
        <w:rPr>
          <w:rFonts w:cstheme="minorHAnsi"/>
          <w:sz w:val="24"/>
          <w:szCs w:val="24"/>
        </w:rPr>
        <w:t>el 68.3% de las mujeres económicamente inactiva</w:t>
      </w:r>
      <w:r w:rsidR="00E94880" w:rsidRPr="00297970">
        <w:rPr>
          <w:rFonts w:cstheme="minorHAnsi"/>
          <w:sz w:val="24"/>
          <w:szCs w:val="24"/>
        </w:rPr>
        <w:t>s</w:t>
      </w:r>
      <w:r w:rsidR="009930B5" w:rsidRPr="00297970">
        <w:rPr>
          <w:rFonts w:cstheme="minorHAnsi"/>
          <w:sz w:val="24"/>
          <w:szCs w:val="24"/>
        </w:rPr>
        <w:t xml:space="preserve"> no bus</w:t>
      </w:r>
      <w:r w:rsidR="004142BB">
        <w:rPr>
          <w:rFonts w:cstheme="minorHAnsi"/>
          <w:sz w:val="24"/>
          <w:szCs w:val="24"/>
        </w:rPr>
        <w:t>can empleo por realizar trabajo</w:t>
      </w:r>
      <w:r w:rsidR="009930B5" w:rsidRPr="00297970">
        <w:rPr>
          <w:rFonts w:cstheme="minorHAnsi"/>
          <w:sz w:val="24"/>
          <w:szCs w:val="24"/>
        </w:rPr>
        <w:t xml:space="preserve"> de cuidado, mientras que solo el 2.2% de hombres económicamente inactivos, no buscan un empleo por esta misma razón.</w:t>
      </w:r>
      <w:r w:rsidR="008C12EC" w:rsidRPr="00297970">
        <w:rPr>
          <w:rFonts w:cstheme="minorHAnsi"/>
          <w:sz w:val="24"/>
          <w:szCs w:val="24"/>
        </w:rPr>
        <w:t xml:space="preserve"> A pesar de los esfuerzos por la equiparación de oportunidades, estos porcentajes no han variado significativamente en los últimos años.</w:t>
      </w:r>
    </w:p>
    <w:p w14:paraId="029BD23B" w14:textId="104C4EB9" w:rsidR="009221C8" w:rsidRPr="00297970" w:rsidRDefault="009221C8" w:rsidP="00220CF6">
      <w:pPr>
        <w:spacing w:line="360" w:lineRule="auto"/>
        <w:jc w:val="both"/>
        <w:rPr>
          <w:rFonts w:cstheme="minorHAnsi"/>
          <w:sz w:val="24"/>
          <w:szCs w:val="24"/>
        </w:rPr>
      </w:pPr>
      <w:r w:rsidRPr="00297970">
        <w:rPr>
          <w:rFonts w:cstheme="minorHAnsi"/>
          <w:noProof/>
          <w:sz w:val="24"/>
          <w:szCs w:val="24"/>
          <w:lang w:eastAsia="es-SV"/>
        </w:rPr>
        <w:lastRenderedPageBreak/>
        <w:drawing>
          <wp:inline distT="0" distB="0" distL="0" distR="0" wp14:anchorId="2AF15181" wp14:editId="0637376F">
            <wp:extent cx="6106510" cy="3899338"/>
            <wp:effectExtent l="0" t="0" r="8890" b="635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  <w:r w:rsidR="00AB5D44" w:rsidRPr="00B35CA4">
        <w:rPr>
          <w:rFonts w:cstheme="minorHAnsi"/>
          <w:sz w:val="16"/>
          <w:szCs w:val="16"/>
        </w:rPr>
        <w:t>Fuente: Gráfico elaboración propia de ORMUSA con datos de EHPM 2015, 2016, 2017, 2018 y 2019</w:t>
      </w:r>
      <w:r w:rsidR="00AB5D44" w:rsidRPr="00297970">
        <w:rPr>
          <w:rFonts w:cstheme="minorHAnsi"/>
          <w:sz w:val="24"/>
          <w:szCs w:val="24"/>
        </w:rPr>
        <w:t>.</w:t>
      </w:r>
    </w:p>
    <w:p w14:paraId="31E8CDE3" w14:textId="77777777" w:rsidR="00F13B82" w:rsidRDefault="00D25AE2" w:rsidP="00220CF6">
      <w:pPr>
        <w:spacing w:line="360" w:lineRule="auto"/>
        <w:jc w:val="both"/>
        <w:rPr>
          <w:rFonts w:cstheme="minorHAnsi"/>
          <w:sz w:val="24"/>
          <w:szCs w:val="24"/>
        </w:rPr>
      </w:pPr>
      <w:r w:rsidRPr="00297970">
        <w:rPr>
          <w:rFonts w:cstheme="minorHAnsi"/>
          <w:sz w:val="24"/>
          <w:szCs w:val="24"/>
        </w:rPr>
        <w:t xml:space="preserve">Las actividades de cuidado de </w:t>
      </w:r>
      <w:r w:rsidR="00CB7802" w:rsidRPr="00297970">
        <w:rPr>
          <w:rFonts w:cstheme="minorHAnsi"/>
          <w:sz w:val="24"/>
          <w:szCs w:val="24"/>
        </w:rPr>
        <w:t xml:space="preserve">la niñez, personas adultas y personas </w:t>
      </w:r>
      <w:r w:rsidR="004A492E" w:rsidRPr="00297970">
        <w:rPr>
          <w:rFonts w:cstheme="minorHAnsi"/>
          <w:sz w:val="24"/>
          <w:szCs w:val="24"/>
        </w:rPr>
        <w:t>enfermas,</w:t>
      </w:r>
      <w:r w:rsidRPr="00297970">
        <w:rPr>
          <w:rFonts w:cstheme="minorHAnsi"/>
          <w:sz w:val="24"/>
          <w:szCs w:val="24"/>
        </w:rPr>
        <w:t xml:space="preserve"> </w:t>
      </w:r>
      <w:r w:rsidR="004A492E" w:rsidRPr="00297970">
        <w:rPr>
          <w:rFonts w:cstheme="minorHAnsi"/>
          <w:sz w:val="24"/>
          <w:szCs w:val="24"/>
        </w:rPr>
        <w:t>preparación de alimentos</w:t>
      </w:r>
      <w:r w:rsidRPr="00297970">
        <w:rPr>
          <w:rFonts w:cstheme="minorHAnsi"/>
          <w:sz w:val="24"/>
          <w:szCs w:val="24"/>
        </w:rPr>
        <w:t xml:space="preserve">, mantenimiento y administración del hogar que realizan </w:t>
      </w:r>
      <w:r w:rsidR="004A492E" w:rsidRPr="00297970">
        <w:rPr>
          <w:rFonts w:cstheme="minorHAnsi"/>
          <w:sz w:val="24"/>
          <w:szCs w:val="24"/>
        </w:rPr>
        <w:t>mayoritariamente las</w:t>
      </w:r>
      <w:r w:rsidR="0091102D" w:rsidRPr="00297970">
        <w:rPr>
          <w:rFonts w:cstheme="minorHAnsi"/>
          <w:sz w:val="24"/>
          <w:szCs w:val="24"/>
        </w:rPr>
        <w:t xml:space="preserve"> </w:t>
      </w:r>
      <w:r w:rsidR="004A492E" w:rsidRPr="00297970">
        <w:rPr>
          <w:rFonts w:cstheme="minorHAnsi"/>
          <w:sz w:val="24"/>
          <w:szCs w:val="24"/>
        </w:rPr>
        <w:t>muj</w:t>
      </w:r>
      <w:r w:rsidR="0091102D" w:rsidRPr="00297970">
        <w:rPr>
          <w:rFonts w:cstheme="minorHAnsi"/>
          <w:sz w:val="24"/>
          <w:szCs w:val="24"/>
        </w:rPr>
        <w:t>e</w:t>
      </w:r>
      <w:r w:rsidR="004A492E" w:rsidRPr="00297970">
        <w:rPr>
          <w:rFonts w:cstheme="minorHAnsi"/>
          <w:sz w:val="24"/>
          <w:szCs w:val="24"/>
        </w:rPr>
        <w:t>res</w:t>
      </w:r>
      <w:r w:rsidR="00080EE0">
        <w:rPr>
          <w:rFonts w:cstheme="minorHAnsi"/>
          <w:sz w:val="24"/>
          <w:szCs w:val="24"/>
        </w:rPr>
        <w:t>,</w:t>
      </w:r>
      <w:r w:rsidRPr="00297970">
        <w:rPr>
          <w:rFonts w:cstheme="minorHAnsi"/>
          <w:sz w:val="24"/>
          <w:szCs w:val="24"/>
        </w:rPr>
        <w:t xml:space="preserve"> son </w:t>
      </w:r>
      <w:r w:rsidR="00CB7802" w:rsidRPr="00297970">
        <w:rPr>
          <w:rFonts w:cstheme="minorHAnsi"/>
          <w:sz w:val="24"/>
          <w:szCs w:val="24"/>
        </w:rPr>
        <w:t>acciones importantes</w:t>
      </w:r>
      <w:r w:rsidR="00F13B82">
        <w:rPr>
          <w:rFonts w:cstheme="minorHAnsi"/>
          <w:sz w:val="24"/>
          <w:szCs w:val="24"/>
        </w:rPr>
        <w:t xml:space="preserve"> </w:t>
      </w:r>
      <w:r w:rsidRPr="00297970">
        <w:rPr>
          <w:rFonts w:cstheme="minorHAnsi"/>
          <w:sz w:val="24"/>
          <w:szCs w:val="24"/>
        </w:rPr>
        <w:t>para la reproducción de l</w:t>
      </w:r>
      <w:r w:rsidR="00F13B82">
        <w:rPr>
          <w:rFonts w:cstheme="minorHAnsi"/>
          <w:sz w:val="24"/>
          <w:szCs w:val="24"/>
        </w:rPr>
        <w:t>a sociedad, la</w:t>
      </w:r>
      <w:r w:rsidRPr="00297970">
        <w:rPr>
          <w:rFonts w:cstheme="minorHAnsi"/>
          <w:sz w:val="24"/>
          <w:szCs w:val="24"/>
        </w:rPr>
        <w:t xml:space="preserve"> producción de bienes y servicios</w:t>
      </w:r>
      <w:r w:rsidR="00F13B82">
        <w:rPr>
          <w:rFonts w:cstheme="minorHAnsi"/>
          <w:sz w:val="24"/>
          <w:szCs w:val="24"/>
        </w:rPr>
        <w:t xml:space="preserve"> y el bienestar de las familias</w:t>
      </w:r>
      <w:r w:rsidRPr="00297970">
        <w:rPr>
          <w:rFonts w:cstheme="minorHAnsi"/>
          <w:sz w:val="24"/>
          <w:szCs w:val="24"/>
        </w:rPr>
        <w:t xml:space="preserve">. </w:t>
      </w:r>
    </w:p>
    <w:p w14:paraId="68F08805" w14:textId="7A02E011" w:rsidR="00C36E8D" w:rsidRPr="00297970" w:rsidRDefault="00C41827" w:rsidP="00220CF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D25AE2" w:rsidRPr="00297970">
        <w:rPr>
          <w:rFonts w:cstheme="minorHAnsi"/>
          <w:sz w:val="24"/>
          <w:szCs w:val="24"/>
        </w:rPr>
        <w:t xml:space="preserve">a asignación de las actividades domésticas y otras actividades no remuneradas </w:t>
      </w:r>
      <w:r w:rsidR="004A492E" w:rsidRPr="00297970">
        <w:rPr>
          <w:rFonts w:cstheme="minorHAnsi"/>
          <w:sz w:val="24"/>
          <w:szCs w:val="24"/>
        </w:rPr>
        <w:t xml:space="preserve">han recaído </w:t>
      </w:r>
      <w:r w:rsidR="00521AA2" w:rsidRPr="00297970">
        <w:rPr>
          <w:rFonts w:cstheme="minorHAnsi"/>
          <w:sz w:val="24"/>
          <w:szCs w:val="24"/>
        </w:rPr>
        <w:t xml:space="preserve">históricamente </w:t>
      </w:r>
      <w:r w:rsidR="00D25AE2" w:rsidRPr="00297970">
        <w:rPr>
          <w:rFonts w:cstheme="minorHAnsi"/>
          <w:sz w:val="24"/>
          <w:szCs w:val="24"/>
        </w:rPr>
        <w:t>en las mujeres</w:t>
      </w:r>
      <w:r>
        <w:rPr>
          <w:rFonts w:cstheme="minorHAnsi"/>
          <w:sz w:val="24"/>
          <w:szCs w:val="24"/>
        </w:rPr>
        <w:t>, como resultado de la división sexual del trabajo, es decir la asignación diferenciada de tareas con base al sexo de las personas.</w:t>
      </w:r>
    </w:p>
    <w:p w14:paraId="249A39DA" w14:textId="7B52A366" w:rsidR="00B75B78" w:rsidRDefault="00C41827" w:rsidP="00220CF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4434E" w:rsidRPr="00297970">
        <w:rPr>
          <w:rFonts w:cstheme="minorHAnsi"/>
          <w:sz w:val="24"/>
          <w:szCs w:val="24"/>
        </w:rPr>
        <w:t>ese</w:t>
      </w:r>
      <w:r w:rsidR="00295CCB" w:rsidRPr="00297970">
        <w:rPr>
          <w:rFonts w:cstheme="minorHAnsi"/>
          <w:sz w:val="24"/>
          <w:szCs w:val="24"/>
        </w:rPr>
        <w:t xml:space="preserve"> a la impo</w:t>
      </w:r>
      <w:r>
        <w:rPr>
          <w:rFonts w:cstheme="minorHAnsi"/>
          <w:sz w:val="24"/>
          <w:szCs w:val="24"/>
        </w:rPr>
        <w:t>rtancia de cuantificar y valor</w:t>
      </w:r>
      <w:r w:rsidR="00295CCB" w:rsidRPr="00297970">
        <w:rPr>
          <w:rFonts w:cstheme="minorHAnsi"/>
          <w:sz w:val="24"/>
          <w:szCs w:val="24"/>
        </w:rPr>
        <w:t xml:space="preserve">ar el tiempo empleado en el trabajo de cuidados, </w:t>
      </w:r>
      <w:r w:rsidR="0021015E" w:rsidRPr="00297970">
        <w:rPr>
          <w:rFonts w:cstheme="minorHAnsi"/>
          <w:sz w:val="24"/>
          <w:szCs w:val="24"/>
        </w:rPr>
        <w:t>e</w:t>
      </w:r>
      <w:r w:rsidR="00B75B78" w:rsidRPr="00297970">
        <w:rPr>
          <w:rFonts w:cstheme="minorHAnsi"/>
          <w:sz w:val="24"/>
          <w:szCs w:val="24"/>
        </w:rPr>
        <w:t>n El Salvador</w:t>
      </w:r>
      <w:r>
        <w:rPr>
          <w:rFonts w:cstheme="minorHAnsi"/>
          <w:sz w:val="24"/>
          <w:szCs w:val="24"/>
        </w:rPr>
        <w:t>,</w:t>
      </w:r>
      <w:r w:rsidR="00B75B78" w:rsidRPr="00297970">
        <w:rPr>
          <w:rFonts w:cstheme="minorHAnsi"/>
          <w:sz w:val="24"/>
          <w:szCs w:val="24"/>
        </w:rPr>
        <w:t xml:space="preserve"> </w:t>
      </w:r>
      <w:r w:rsidR="0021015E" w:rsidRPr="00297970">
        <w:rPr>
          <w:rFonts w:cstheme="minorHAnsi"/>
          <w:sz w:val="24"/>
          <w:szCs w:val="24"/>
        </w:rPr>
        <w:t>“</w:t>
      </w:r>
      <w:r w:rsidR="00B75B78" w:rsidRPr="00297970">
        <w:rPr>
          <w:rFonts w:cstheme="minorHAnsi"/>
          <w:sz w:val="24"/>
          <w:szCs w:val="24"/>
        </w:rPr>
        <w:t>son limitadas las estimaciones sobre el tiempo que los hombres y las mujeres invierten en actividades del cuidado y del hogar a lo largo del ciclo de vida, así como sobre el consumo de dicho trabajo no remunerado"</w:t>
      </w:r>
      <w:r w:rsidR="00110F8E" w:rsidRPr="00297970">
        <w:rPr>
          <w:rFonts w:cstheme="minorHAnsi"/>
          <w:sz w:val="24"/>
          <w:szCs w:val="24"/>
        </w:rPr>
        <w:t>.</w:t>
      </w:r>
      <w:r w:rsidR="00B75B78" w:rsidRPr="00297970">
        <w:rPr>
          <w:rStyle w:val="Refdenotaalpie"/>
          <w:rFonts w:cstheme="minorHAnsi"/>
          <w:sz w:val="24"/>
          <w:szCs w:val="24"/>
        </w:rPr>
        <w:footnoteReference w:id="9"/>
      </w:r>
      <w:r w:rsidR="00295CCB" w:rsidRPr="00297970">
        <w:rPr>
          <w:rFonts w:cstheme="minorHAnsi"/>
          <w:sz w:val="24"/>
          <w:szCs w:val="24"/>
        </w:rPr>
        <w:t xml:space="preserve"> </w:t>
      </w:r>
    </w:p>
    <w:p w14:paraId="2C5370E6" w14:textId="3B1724F8" w:rsidR="006B0B4E" w:rsidRPr="00297970" w:rsidRDefault="006B0B4E" w:rsidP="00220CF6">
      <w:pPr>
        <w:spacing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Estas actividades son desempeñadas mayoritariamente por las mujeres, con algunas variantes a </w:t>
      </w:r>
      <w:r w:rsidRPr="00297970">
        <w:rPr>
          <w:rFonts w:cstheme="minorHAnsi"/>
          <w:sz w:val="24"/>
          <w:szCs w:val="24"/>
        </w:rPr>
        <w:t>lo l</w:t>
      </w:r>
      <w:r>
        <w:rPr>
          <w:rFonts w:cstheme="minorHAnsi"/>
          <w:sz w:val="24"/>
          <w:szCs w:val="24"/>
        </w:rPr>
        <w:t>argo del ciclo de vida, debido a que el</w:t>
      </w:r>
      <w:r w:rsidRPr="00297970">
        <w:rPr>
          <w:rFonts w:cstheme="minorHAnsi"/>
          <w:sz w:val="24"/>
          <w:szCs w:val="24"/>
        </w:rPr>
        <w:t xml:space="preserve"> cuidado de</w:t>
      </w:r>
      <w:r>
        <w:rPr>
          <w:rFonts w:cstheme="minorHAnsi"/>
          <w:sz w:val="24"/>
          <w:szCs w:val="24"/>
        </w:rPr>
        <w:t xml:space="preserve"> niñez se concentra principalmente en</w:t>
      </w:r>
      <w:r w:rsidRPr="00297970">
        <w:rPr>
          <w:rFonts w:cstheme="minorHAnsi"/>
          <w:sz w:val="24"/>
          <w:szCs w:val="24"/>
        </w:rPr>
        <w:t xml:space="preserve"> mujeres jóvenes (de entr</w:t>
      </w:r>
      <w:r>
        <w:rPr>
          <w:rFonts w:cstheme="minorHAnsi"/>
          <w:sz w:val="24"/>
          <w:szCs w:val="24"/>
        </w:rPr>
        <w:t>e 15 y 35 años), mientras que el cuidado de personas mayores es realizado</w:t>
      </w:r>
      <w:r w:rsidRPr="00297970">
        <w:rPr>
          <w:rFonts w:cstheme="minorHAnsi"/>
          <w:sz w:val="24"/>
          <w:szCs w:val="24"/>
        </w:rPr>
        <w:t xml:space="preserve"> sobre todo por mujeres de edad más avanzada</w:t>
      </w:r>
      <w:r>
        <w:rPr>
          <w:rFonts w:cstheme="minorHAnsi"/>
          <w:sz w:val="24"/>
          <w:szCs w:val="24"/>
        </w:rPr>
        <w:t>.</w:t>
      </w:r>
      <w:r w:rsidRPr="00297970">
        <w:rPr>
          <w:rStyle w:val="Refdenotaalpie"/>
          <w:rFonts w:cstheme="minorHAnsi"/>
          <w:sz w:val="24"/>
          <w:szCs w:val="24"/>
        </w:rPr>
        <w:footnoteReference w:id="10"/>
      </w:r>
    </w:p>
    <w:p w14:paraId="170541E4" w14:textId="103BCA8A" w:rsidR="00221506" w:rsidRPr="00297970" w:rsidRDefault="0084481B" w:rsidP="00DE3DB4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297970">
        <w:rPr>
          <w:rFonts w:cstheme="minorHAnsi"/>
          <w:noProof/>
          <w:sz w:val="24"/>
          <w:szCs w:val="24"/>
          <w:lang w:eastAsia="es-SV"/>
        </w:rPr>
        <w:drawing>
          <wp:anchor distT="0" distB="0" distL="114300" distR="114300" simplePos="0" relativeHeight="251658240" behindDoc="1" locked="0" layoutInCell="1" allowOverlap="1" wp14:anchorId="74C66797" wp14:editId="0737A2F1">
            <wp:simplePos x="0" y="0"/>
            <wp:positionH relativeFrom="column">
              <wp:posOffset>-734695</wp:posOffset>
            </wp:positionH>
            <wp:positionV relativeFrom="paragraph">
              <wp:posOffset>506079</wp:posOffset>
            </wp:positionV>
            <wp:extent cx="7103110" cy="4069715"/>
            <wp:effectExtent l="0" t="0" r="2540" b="6985"/>
            <wp:wrapTight wrapText="bothSides">
              <wp:wrapPolygon edited="0">
                <wp:start x="0" y="0"/>
                <wp:lineTo x="0" y="21536"/>
                <wp:lineTo x="21550" y="21536"/>
                <wp:lineTo x="21550" y="0"/>
                <wp:lineTo x="0" y="0"/>
              </wp:wrapPolygon>
            </wp:wrapTight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1F43" w:rsidRPr="00297970">
        <w:rPr>
          <w:rFonts w:cstheme="minorHAnsi"/>
          <w:b/>
          <w:bCs/>
          <w:sz w:val="24"/>
          <w:szCs w:val="24"/>
        </w:rPr>
        <w:t>Horas promedio dedicadas al trabajo no remunerado</w:t>
      </w:r>
      <w:r w:rsidR="00D90A8F">
        <w:rPr>
          <w:rFonts w:cstheme="minorHAnsi"/>
          <w:b/>
          <w:bCs/>
          <w:sz w:val="24"/>
          <w:szCs w:val="24"/>
        </w:rPr>
        <w:t xml:space="preserve">                                                                            </w:t>
      </w:r>
      <w:r w:rsidR="00CA1F43" w:rsidRPr="00297970">
        <w:rPr>
          <w:rFonts w:cstheme="minorHAnsi"/>
          <w:b/>
          <w:bCs/>
          <w:sz w:val="24"/>
          <w:szCs w:val="24"/>
        </w:rPr>
        <w:t xml:space="preserve"> del hogar por sexo en El Salvador 2017</w:t>
      </w:r>
    </w:p>
    <w:p w14:paraId="2CA127EC" w14:textId="3D2A803C" w:rsidR="00221506" w:rsidRDefault="00221506" w:rsidP="000056E9">
      <w:pPr>
        <w:spacing w:line="360" w:lineRule="auto"/>
        <w:jc w:val="both"/>
        <w:rPr>
          <w:rFonts w:cstheme="minorHAnsi"/>
          <w:sz w:val="16"/>
          <w:szCs w:val="16"/>
        </w:rPr>
      </w:pPr>
      <w:r w:rsidRPr="00A0304E">
        <w:rPr>
          <w:rFonts w:cstheme="minorHAnsi"/>
          <w:sz w:val="16"/>
          <w:szCs w:val="16"/>
        </w:rPr>
        <w:t xml:space="preserve">Fuente: Gráfico </w:t>
      </w:r>
      <w:r w:rsidR="007354E5" w:rsidRPr="00A0304E">
        <w:rPr>
          <w:rFonts w:cstheme="minorHAnsi"/>
          <w:sz w:val="16"/>
          <w:szCs w:val="16"/>
        </w:rPr>
        <w:t xml:space="preserve">de elaboración propia de ORMUSA con datos de </w:t>
      </w:r>
      <w:r w:rsidR="000056E9" w:rsidRPr="00A0304E">
        <w:rPr>
          <w:rFonts w:cstheme="minorHAnsi"/>
          <w:sz w:val="16"/>
          <w:szCs w:val="16"/>
        </w:rPr>
        <w:t xml:space="preserve">la </w:t>
      </w:r>
      <w:r w:rsidR="00A70D90" w:rsidRPr="00A0304E">
        <w:rPr>
          <w:rFonts w:cstheme="minorHAnsi"/>
          <w:sz w:val="16"/>
          <w:szCs w:val="16"/>
        </w:rPr>
        <w:t xml:space="preserve">Encuesta Nacional del Uso del Tiempo, El Salvador 2017. Recuperado en </w:t>
      </w:r>
      <w:hyperlink r:id="rId26" w:history="1">
        <w:r w:rsidR="00A70D90" w:rsidRPr="00A0304E">
          <w:rPr>
            <w:rStyle w:val="Hipervnculo"/>
            <w:rFonts w:cstheme="minorHAnsi"/>
            <w:sz w:val="16"/>
            <w:szCs w:val="16"/>
          </w:rPr>
          <w:t>http://aplicaciones.digestyc.gob.sv/observatorio.genero/uso_tiempo/index.aspx</w:t>
        </w:r>
      </w:hyperlink>
    </w:p>
    <w:p w14:paraId="22865F21" w14:textId="17FC4CF5" w:rsidR="00563262" w:rsidRDefault="00563262" w:rsidP="000056E9">
      <w:pPr>
        <w:spacing w:line="360" w:lineRule="auto"/>
        <w:jc w:val="both"/>
        <w:rPr>
          <w:rFonts w:cstheme="minorHAnsi"/>
          <w:sz w:val="16"/>
          <w:szCs w:val="16"/>
        </w:rPr>
      </w:pPr>
    </w:p>
    <w:p w14:paraId="206C9E10" w14:textId="77777777" w:rsidR="00563262" w:rsidRPr="00674D99" w:rsidRDefault="00563262" w:rsidP="00563262">
      <w:pPr>
        <w:spacing w:line="360" w:lineRule="auto"/>
        <w:jc w:val="both"/>
        <w:rPr>
          <w:rFonts w:cstheme="minorHAnsi"/>
          <w:sz w:val="24"/>
          <w:szCs w:val="24"/>
        </w:rPr>
      </w:pPr>
      <w:r w:rsidRPr="00297970">
        <w:rPr>
          <w:rFonts w:cstheme="minorHAnsi"/>
          <w:sz w:val="24"/>
          <w:szCs w:val="24"/>
        </w:rPr>
        <w:t>El Banco Central de Reserva de El Salvador (BCR)</w:t>
      </w:r>
      <w:r>
        <w:rPr>
          <w:rFonts w:cstheme="minorHAnsi"/>
          <w:sz w:val="24"/>
          <w:szCs w:val="24"/>
        </w:rPr>
        <w:t>, indica que e</w:t>
      </w:r>
      <w:r w:rsidRPr="00297970">
        <w:rPr>
          <w:rFonts w:cstheme="minorHAnsi"/>
          <w:sz w:val="24"/>
          <w:szCs w:val="24"/>
        </w:rPr>
        <w:t>l trabajo del hogar no remunerado es una de las dimensiones menos reconocidas de la contribución de las mujere</w:t>
      </w:r>
      <w:r>
        <w:rPr>
          <w:rFonts w:cstheme="minorHAnsi"/>
          <w:sz w:val="24"/>
          <w:szCs w:val="24"/>
        </w:rPr>
        <w:t>s al desarrollo,</w:t>
      </w:r>
      <w:r w:rsidRPr="00297970">
        <w:rPr>
          <w:rFonts w:cstheme="minorHAnsi"/>
          <w:sz w:val="24"/>
          <w:szCs w:val="24"/>
        </w:rPr>
        <w:t xml:space="preserve"> a la supervivencia económica de los hogares</w:t>
      </w:r>
      <w:r>
        <w:rPr>
          <w:rFonts w:cstheme="minorHAnsi"/>
          <w:sz w:val="24"/>
          <w:szCs w:val="24"/>
        </w:rPr>
        <w:t xml:space="preserve"> y</w:t>
      </w:r>
      <w:r w:rsidRPr="00674D99">
        <w:rPr>
          <w:rFonts w:cstheme="minorHAnsi"/>
          <w:sz w:val="24"/>
          <w:szCs w:val="24"/>
        </w:rPr>
        <w:t xml:space="preserve"> disponibilidad de </w:t>
      </w:r>
      <w:r w:rsidRPr="00674D99">
        <w:rPr>
          <w:rFonts w:cstheme="minorHAnsi"/>
          <w:sz w:val="24"/>
          <w:szCs w:val="24"/>
        </w:rPr>
        <w:lastRenderedPageBreak/>
        <w:t>bienes y servicios de la economía nacional en beneficio de las personas</w:t>
      </w:r>
      <w:r>
        <w:rPr>
          <w:rFonts w:cstheme="minorHAnsi"/>
          <w:sz w:val="24"/>
          <w:szCs w:val="24"/>
        </w:rPr>
        <w:t xml:space="preserve">. El trabajo no remunerado es </w:t>
      </w:r>
      <w:r w:rsidRPr="00297970">
        <w:rPr>
          <w:rFonts w:cstheme="minorHAnsi"/>
          <w:sz w:val="24"/>
          <w:szCs w:val="24"/>
        </w:rPr>
        <w:t>aquel que se realiza sin recibir una compensación monetaria, ni de cualquier otro tipo</w:t>
      </w:r>
      <w:r>
        <w:rPr>
          <w:rFonts w:cstheme="minorHAnsi"/>
          <w:sz w:val="24"/>
          <w:szCs w:val="24"/>
        </w:rPr>
        <w:t>;</w:t>
      </w:r>
      <w:r w:rsidRPr="00297970">
        <w:rPr>
          <w:rFonts w:cstheme="minorHAnsi"/>
          <w:sz w:val="24"/>
          <w:szCs w:val="24"/>
        </w:rPr>
        <w:t xml:space="preserve"> </w:t>
      </w:r>
      <w:r w:rsidRPr="00674D99">
        <w:rPr>
          <w:rFonts w:cstheme="minorHAnsi"/>
          <w:sz w:val="24"/>
          <w:szCs w:val="24"/>
        </w:rPr>
        <w:t xml:space="preserve">satisface necesidades que permiten la reproducción social, aumenta </w:t>
      </w:r>
      <w:r>
        <w:rPr>
          <w:rFonts w:cstheme="minorHAnsi"/>
          <w:sz w:val="24"/>
          <w:szCs w:val="24"/>
        </w:rPr>
        <w:t>y</w:t>
      </w:r>
      <w:r w:rsidRPr="00297970">
        <w:rPr>
          <w:rFonts w:cstheme="minorHAnsi"/>
          <w:sz w:val="24"/>
          <w:szCs w:val="24"/>
        </w:rPr>
        <w:t xml:space="preserve"> posee cuatro modalidades: </w:t>
      </w:r>
      <w:r>
        <w:rPr>
          <w:rFonts w:cstheme="minorHAnsi"/>
          <w:sz w:val="24"/>
          <w:szCs w:val="24"/>
        </w:rPr>
        <w:t xml:space="preserve"> </w:t>
      </w:r>
      <w:r w:rsidRPr="00674D99">
        <w:rPr>
          <w:rFonts w:cstheme="minorHAnsi"/>
          <w:sz w:val="24"/>
          <w:szCs w:val="24"/>
        </w:rPr>
        <w:t xml:space="preserve">El trabajo de subsistencia, el trabajo del hogar, el trabajo de cuidado familiares y el trabajo voluntario o al servicio de la comunidad. </w:t>
      </w:r>
    </w:p>
    <w:p w14:paraId="45210FEC" w14:textId="77777777" w:rsidR="00563262" w:rsidRPr="00A0304E" w:rsidRDefault="00563262" w:rsidP="000056E9">
      <w:pPr>
        <w:spacing w:line="360" w:lineRule="auto"/>
        <w:jc w:val="both"/>
        <w:rPr>
          <w:rFonts w:cstheme="minorHAnsi"/>
          <w:sz w:val="16"/>
          <w:szCs w:val="16"/>
        </w:rPr>
      </w:pPr>
    </w:p>
    <w:sectPr w:rsidR="00563262" w:rsidRPr="00A0304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1D411" w14:textId="77777777" w:rsidR="00CB317C" w:rsidRDefault="00CB317C" w:rsidP="00220CF6">
      <w:pPr>
        <w:spacing w:after="0" w:line="240" w:lineRule="auto"/>
      </w:pPr>
      <w:r>
        <w:separator/>
      </w:r>
    </w:p>
  </w:endnote>
  <w:endnote w:type="continuationSeparator" w:id="0">
    <w:p w14:paraId="41E14C9C" w14:textId="77777777" w:rsidR="00CB317C" w:rsidRDefault="00CB317C" w:rsidP="00220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301822" w14:textId="77777777" w:rsidR="00CB317C" w:rsidRDefault="00CB317C" w:rsidP="00220CF6">
      <w:pPr>
        <w:spacing w:after="0" w:line="240" w:lineRule="auto"/>
      </w:pPr>
      <w:r>
        <w:separator/>
      </w:r>
    </w:p>
  </w:footnote>
  <w:footnote w:type="continuationSeparator" w:id="0">
    <w:p w14:paraId="5B342BAC" w14:textId="77777777" w:rsidR="00CB317C" w:rsidRDefault="00CB317C" w:rsidP="00220CF6">
      <w:pPr>
        <w:spacing w:after="0" w:line="240" w:lineRule="auto"/>
      </w:pPr>
      <w:r>
        <w:continuationSeparator/>
      </w:r>
    </w:p>
  </w:footnote>
  <w:footnote w:id="1">
    <w:p w14:paraId="6702B7D7" w14:textId="77382EE8" w:rsidR="00815F25" w:rsidRDefault="00815F25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955AB">
        <w:rPr>
          <w:sz w:val="16"/>
          <w:szCs w:val="16"/>
        </w:rPr>
        <w:t xml:space="preserve"> </w:t>
      </w:r>
      <w:hyperlink r:id="rId1" w:history="1">
        <w:r w:rsidRPr="007955AB">
          <w:rPr>
            <w:rStyle w:val="Hipervnculo"/>
            <w:sz w:val="16"/>
            <w:szCs w:val="16"/>
          </w:rPr>
          <w:t>https://www.asamblea.gob.sv/node/10325</w:t>
        </w:r>
      </w:hyperlink>
    </w:p>
  </w:footnote>
  <w:footnote w:id="2">
    <w:p w14:paraId="2E892C5F" w14:textId="040A3562" w:rsidR="002365D5" w:rsidRDefault="002365D5">
      <w:pPr>
        <w:pStyle w:val="Textonotapie"/>
      </w:pPr>
      <w:r w:rsidRPr="00640D1B">
        <w:rPr>
          <w:rStyle w:val="Refdenotaalpie"/>
          <w:highlight w:val="yellow"/>
        </w:rPr>
        <w:footnoteRef/>
      </w:r>
      <w:r w:rsidRPr="00640D1B">
        <w:rPr>
          <w:highlight w:val="yellow"/>
        </w:rPr>
        <w:t xml:space="preserve"> </w:t>
      </w:r>
      <w:r w:rsidR="00640D1B" w:rsidRPr="00640D1B">
        <w:rPr>
          <w:highlight w:val="yellow"/>
        </w:rPr>
        <w:t>Consultar documento en el siguiente l</w:t>
      </w:r>
      <w:r w:rsidRPr="00640D1B">
        <w:rPr>
          <w:highlight w:val="yellow"/>
        </w:rPr>
        <w:t>ink</w:t>
      </w:r>
      <w:r w:rsidR="00640D1B" w:rsidRPr="00640D1B">
        <w:rPr>
          <w:highlight w:val="yellow"/>
        </w:rPr>
        <w:t xml:space="preserve"> </w:t>
      </w:r>
      <w:r w:rsidR="00640D1B" w:rsidRPr="00E9415F">
        <w:rPr>
          <w:highlight w:val="cyan"/>
        </w:rPr>
        <w:t>(se agregará</w:t>
      </w:r>
      <w:r w:rsidRPr="00E9415F">
        <w:rPr>
          <w:highlight w:val="cyan"/>
        </w:rPr>
        <w:t xml:space="preserve"> archivo que se adjunta en este mensaje, una vez este colocado en el observatorio económico laboral</w:t>
      </w:r>
      <w:r w:rsidR="00640D1B" w:rsidRPr="00E9415F">
        <w:rPr>
          <w:highlight w:val="cyan"/>
        </w:rPr>
        <w:t>)</w:t>
      </w:r>
    </w:p>
  </w:footnote>
  <w:footnote w:id="3">
    <w:p w14:paraId="261F29F7" w14:textId="77777777" w:rsidR="007C11FD" w:rsidRDefault="007C11FD" w:rsidP="007C11FD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Pr="007B1F74">
        <w:t>Analisis_legal_nueva_ley_especial_sobre_el_cuidado_infantil_abril_2019.pdf</w:t>
      </w:r>
      <w:r w:rsidRPr="007B1F74">
        <w:rPr>
          <w:highlight w:val="cyan"/>
        </w:rPr>
        <w:t xml:space="preserve"> </w:t>
      </w:r>
      <w:r w:rsidRPr="00E9415F">
        <w:rPr>
          <w:highlight w:val="cyan"/>
        </w:rPr>
        <w:t>se agregará archivo que se adjunta en este mensaje, una vez este colocado en el observatorio económico laboral)</w:t>
      </w:r>
    </w:p>
  </w:footnote>
  <w:footnote w:id="4">
    <w:p w14:paraId="6C8EE323" w14:textId="5B606070" w:rsidR="00972C2A" w:rsidRPr="00C05975" w:rsidRDefault="00972C2A" w:rsidP="00972C2A">
      <w:pPr>
        <w:pStyle w:val="Textonotapie"/>
        <w:rPr>
          <w:sz w:val="16"/>
          <w:szCs w:val="16"/>
        </w:rPr>
      </w:pPr>
      <w:r w:rsidRPr="00C05975">
        <w:rPr>
          <w:rStyle w:val="Refdenotaalpie"/>
          <w:sz w:val="16"/>
          <w:szCs w:val="16"/>
        </w:rPr>
        <w:footnoteRef/>
      </w:r>
      <w:r w:rsidRPr="00C05975">
        <w:rPr>
          <w:sz w:val="16"/>
          <w:szCs w:val="16"/>
        </w:rPr>
        <w:t xml:space="preserve"> </w:t>
      </w:r>
      <w:r w:rsidR="00C05975" w:rsidRPr="00C05975">
        <w:rPr>
          <w:sz w:val="16"/>
          <w:szCs w:val="16"/>
        </w:rPr>
        <w:t>CEPAL</w:t>
      </w:r>
      <w:r w:rsidRPr="00C05975">
        <w:rPr>
          <w:sz w:val="16"/>
          <w:szCs w:val="16"/>
        </w:rPr>
        <w:t xml:space="preserve">, Notas de población no.109. Recuperado en </w:t>
      </w:r>
      <w:hyperlink r:id="rId2" w:history="1">
        <w:r w:rsidRPr="00C05975">
          <w:rPr>
            <w:rStyle w:val="Hipervnculo"/>
            <w:sz w:val="16"/>
            <w:szCs w:val="16"/>
          </w:rPr>
          <w:t>https://repositorio.cepal.org/bitstream/handle/11362/45079/1/S1900612_Pena.pdf</w:t>
        </w:r>
      </w:hyperlink>
    </w:p>
    <w:p w14:paraId="40AC9EFD" w14:textId="77777777" w:rsidR="00972C2A" w:rsidRPr="00C05975" w:rsidRDefault="00972C2A" w:rsidP="00972C2A">
      <w:pPr>
        <w:pStyle w:val="Textonotapie"/>
        <w:rPr>
          <w:sz w:val="16"/>
          <w:szCs w:val="16"/>
        </w:rPr>
      </w:pPr>
    </w:p>
  </w:footnote>
  <w:footnote w:id="5">
    <w:p w14:paraId="4CAF22D5" w14:textId="77777777" w:rsidR="00AF37B2" w:rsidRPr="00C05975" w:rsidRDefault="00AF37B2" w:rsidP="00AF37B2">
      <w:pPr>
        <w:pStyle w:val="Textonotapie"/>
        <w:rPr>
          <w:sz w:val="16"/>
          <w:szCs w:val="16"/>
        </w:rPr>
      </w:pPr>
      <w:r w:rsidRPr="00C05975">
        <w:rPr>
          <w:rStyle w:val="Refdenotaalpie"/>
          <w:sz w:val="16"/>
          <w:szCs w:val="16"/>
        </w:rPr>
        <w:footnoteRef/>
      </w:r>
      <w:r w:rsidRPr="00C05975">
        <w:rPr>
          <w:sz w:val="16"/>
          <w:szCs w:val="16"/>
        </w:rPr>
        <w:t xml:space="preserve"> Repositorio de información sobre uso del tiempo de América Latina y el Caribe, CEPAL </w:t>
      </w:r>
      <w:hyperlink r:id="rId3" w:history="1">
        <w:r w:rsidRPr="00C05975">
          <w:rPr>
            <w:rStyle w:val="Hipervnculo"/>
            <w:sz w:val="16"/>
            <w:szCs w:val="16"/>
          </w:rPr>
          <w:t>https://oig.cepal.org/sites/default/files/2019-10_repositorio_uso_del_tiempo_esp.pdf</w:t>
        </w:r>
      </w:hyperlink>
    </w:p>
    <w:p w14:paraId="75D828BB" w14:textId="77777777" w:rsidR="00AF37B2" w:rsidRPr="00705AD3" w:rsidRDefault="00AF37B2" w:rsidP="00AF37B2">
      <w:pPr>
        <w:pStyle w:val="Textonotapie"/>
        <w:rPr>
          <w:sz w:val="18"/>
          <w:szCs w:val="18"/>
        </w:rPr>
      </w:pPr>
    </w:p>
  </w:footnote>
  <w:footnote w:id="6">
    <w:p w14:paraId="5C46DF72" w14:textId="294238E6" w:rsidR="00220CF6" w:rsidRPr="00C05975" w:rsidRDefault="00220CF6">
      <w:pPr>
        <w:pStyle w:val="Textonotapie"/>
        <w:rPr>
          <w:sz w:val="16"/>
          <w:szCs w:val="16"/>
        </w:rPr>
      </w:pPr>
      <w:r w:rsidRPr="00C05975">
        <w:rPr>
          <w:rStyle w:val="Refdenotaalpie"/>
          <w:sz w:val="16"/>
          <w:szCs w:val="16"/>
        </w:rPr>
        <w:footnoteRef/>
      </w:r>
      <w:r w:rsidRPr="00C05975">
        <w:rPr>
          <w:sz w:val="16"/>
          <w:szCs w:val="16"/>
        </w:rPr>
        <w:t xml:space="preserve"> </w:t>
      </w:r>
      <w:r w:rsidR="00FD6785">
        <w:rPr>
          <w:sz w:val="16"/>
          <w:szCs w:val="16"/>
        </w:rPr>
        <w:t>Idem</w:t>
      </w:r>
    </w:p>
    <w:p w14:paraId="3DB4D988" w14:textId="77777777" w:rsidR="00705AD3" w:rsidRPr="00705AD3" w:rsidRDefault="00705AD3">
      <w:pPr>
        <w:pStyle w:val="Textonotapie"/>
        <w:rPr>
          <w:sz w:val="18"/>
          <w:szCs w:val="18"/>
        </w:rPr>
      </w:pPr>
    </w:p>
  </w:footnote>
  <w:footnote w:id="7">
    <w:p w14:paraId="34189382" w14:textId="23D45C49" w:rsidR="00981EE9" w:rsidRPr="00F22E6E" w:rsidRDefault="00981EE9" w:rsidP="00981EE9">
      <w:pPr>
        <w:pStyle w:val="Textonotapie"/>
        <w:rPr>
          <w:sz w:val="16"/>
          <w:szCs w:val="16"/>
        </w:rPr>
      </w:pPr>
      <w:r w:rsidRPr="00F22E6E">
        <w:rPr>
          <w:rStyle w:val="Refdenotaalpie"/>
          <w:sz w:val="16"/>
          <w:szCs w:val="16"/>
        </w:rPr>
        <w:footnoteRef/>
      </w:r>
      <w:r w:rsidR="003B59A6">
        <w:rPr>
          <w:sz w:val="16"/>
          <w:szCs w:val="16"/>
        </w:rPr>
        <w:t xml:space="preserve"> </w:t>
      </w:r>
      <w:r w:rsidRPr="00F22E6E">
        <w:rPr>
          <w:sz w:val="16"/>
          <w:szCs w:val="16"/>
        </w:rPr>
        <w:t xml:space="preserve">Aporte de las mujeres a la economía desde las Políticas públicas, del cuidado, la corresponsabilidad y las cuentas satélites, BCR 2017 </w:t>
      </w:r>
      <w:hyperlink r:id="rId4" w:history="1">
        <w:r w:rsidRPr="00F22E6E">
          <w:rPr>
            <w:rStyle w:val="Hipervnculo"/>
            <w:sz w:val="16"/>
            <w:szCs w:val="16"/>
          </w:rPr>
          <w:t>https://www.bcr.gob.sv/bcrsite/uploaded/content/category/1272775791.pdf</w:t>
        </w:r>
      </w:hyperlink>
    </w:p>
    <w:p w14:paraId="2DDFB121" w14:textId="77777777" w:rsidR="00981EE9" w:rsidRPr="00F22E6E" w:rsidRDefault="00981EE9" w:rsidP="00981EE9">
      <w:pPr>
        <w:pStyle w:val="Textonotapie"/>
        <w:rPr>
          <w:sz w:val="16"/>
          <w:szCs w:val="16"/>
        </w:rPr>
      </w:pPr>
    </w:p>
  </w:footnote>
  <w:footnote w:id="8">
    <w:p w14:paraId="38D33889" w14:textId="251CFA99" w:rsidR="00B529DC" w:rsidRPr="00F22E6E" w:rsidRDefault="00B529DC">
      <w:pPr>
        <w:pStyle w:val="Textonotapie"/>
        <w:rPr>
          <w:sz w:val="16"/>
          <w:szCs w:val="16"/>
        </w:rPr>
      </w:pPr>
      <w:r w:rsidRPr="00F22E6E">
        <w:rPr>
          <w:rStyle w:val="Refdenotaalpie"/>
          <w:sz w:val="16"/>
          <w:szCs w:val="16"/>
        </w:rPr>
        <w:footnoteRef/>
      </w:r>
      <w:r w:rsidRPr="00F22E6E">
        <w:rPr>
          <w:sz w:val="16"/>
          <w:szCs w:val="16"/>
        </w:rPr>
        <w:t xml:space="preserve"> Encuesta de Hogares de Propósitos Múltiples 2019</w:t>
      </w:r>
      <w:r w:rsidR="00AC73C3" w:rsidRPr="00F22E6E">
        <w:rPr>
          <w:sz w:val="16"/>
          <w:szCs w:val="16"/>
        </w:rPr>
        <w:t xml:space="preserve">. </w:t>
      </w:r>
      <w:hyperlink r:id="rId5" w:history="1">
        <w:r w:rsidR="00AC73C3" w:rsidRPr="00F22E6E">
          <w:rPr>
            <w:rStyle w:val="Hipervnculo"/>
            <w:sz w:val="16"/>
            <w:szCs w:val="16"/>
          </w:rPr>
          <w:t>http://www.digestyc.gob.sv/index.php/novedades/avisos/965-ya-se-encuentra-disponible-la-encuesta-de-hogares-de-propositos-multiples-2019.html</w:t>
        </w:r>
      </w:hyperlink>
    </w:p>
    <w:p w14:paraId="727667C6" w14:textId="77777777" w:rsidR="00AC73C3" w:rsidRDefault="00AC73C3">
      <w:pPr>
        <w:pStyle w:val="Textonotapie"/>
      </w:pPr>
    </w:p>
  </w:footnote>
  <w:footnote w:id="9">
    <w:p w14:paraId="25AFAE1E" w14:textId="46E850E3" w:rsidR="00B75B78" w:rsidRPr="00CA1F43" w:rsidRDefault="00B75B78">
      <w:pPr>
        <w:pStyle w:val="Textonotapie"/>
        <w:rPr>
          <w:sz w:val="16"/>
          <w:szCs w:val="16"/>
        </w:rPr>
      </w:pPr>
      <w:r>
        <w:rPr>
          <w:rStyle w:val="Refdenotaalpie"/>
        </w:rPr>
        <w:footnoteRef/>
      </w:r>
      <w:r>
        <w:t xml:space="preserve"> </w:t>
      </w:r>
      <w:r w:rsidR="00CA1F43" w:rsidRPr="00CA1F43">
        <w:rPr>
          <w:sz w:val="16"/>
          <w:szCs w:val="16"/>
        </w:rPr>
        <w:t xml:space="preserve">CEPAL, </w:t>
      </w:r>
      <w:r w:rsidR="00BC0948" w:rsidRPr="00CA1F43">
        <w:rPr>
          <w:sz w:val="16"/>
          <w:szCs w:val="16"/>
        </w:rPr>
        <w:t>2019.</w:t>
      </w:r>
      <w:r w:rsidR="00224CBA">
        <w:rPr>
          <w:sz w:val="16"/>
          <w:szCs w:val="16"/>
        </w:rPr>
        <w:t xml:space="preserve"> n</w:t>
      </w:r>
      <w:r w:rsidR="00B267D2" w:rsidRPr="00CA1F43">
        <w:rPr>
          <w:sz w:val="16"/>
          <w:szCs w:val="16"/>
        </w:rPr>
        <w:t xml:space="preserve">. Recuperado en </w:t>
      </w:r>
      <w:r w:rsidRPr="00CA1F43">
        <w:rPr>
          <w:sz w:val="16"/>
          <w:szCs w:val="16"/>
        </w:rPr>
        <w:t xml:space="preserve"> </w:t>
      </w:r>
      <w:hyperlink r:id="rId6" w:history="1">
        <w:r w:rsidR="00B267D2" w:rsidRPr="00CA1F43">
          <w:rPr>
            <w:rStyle w:val="Hipervnculo"/>
            <w:sz w:val="16"/>
            <w:szCs w:val="16"/>
          </w:rPr>
          <w:t>https://repositorio.cepal.org/bitstream/handle/11362/45079/1/S1900612_Pena.pdf</w:t>
        </w:r>
      </w:hyperlink>
    </w:p>
    <w:p w14:paraId="4B78AF39" w14:textId="77777777" w:rsidR="00B267D2" w:rsidRPr="00BC0948" w:rsidRDefault="00B267D2">
      <w:pPr>
        <w:pStyle w:val="Textonotapie"/>
        <w:rPr>
          <w:sz w:val="16"/>
          <w:szCs w:val="16"/>
        </w:rPr>
      </w:pPr>
    </w:p>
  </w:footnote>
  <w:footnote w:id="10">
    <w:p w14:paraId="75F5EED9" w14:textId="77777777" w:rsidR="006B0B4E" w:rsidRPr="00F30E8C" w:rsidRDefault="006B0B4E" w:rsidP="006B0B4E">
      <w:pPr>
        <w:pStyle w:val="Textonotapie"/>
        <w:rPr>
          <w:sz w:val="16"/>
          <w:szCs w:val="16"/>
        </w:rPr>
      </w:pPr>
      <w:r w:rsidRPr="00F30E8C">
        <w:rPr>
          <w:rStyle w:val="Refdenotaalpie"/>
          <w:sz w:val="16"/>
          <w:szCs w:val="16"/>
        </w:rPr>
        <w:footnoteRef/>
      </w:r>
      <w:r w:rsidRPr="00F30E8C">
        <w:rPr>
          <w:sz w:val="16"/>
          <w:szCs w:val="16"/>
        </w:rPr>
        <w:t xml:space="preserve"> </w:t>
      </w:r>
      <w:proofErr w:type="spellStart"/>
      <w:r w:rsidRPr="00F30E8C">
        <w:rPr>
          <w:sz w:val="16"/>
          <w:szCs w:val="16"/>
        </w:rPr>
        <w:t>Cepal</w:t>
      </w:r>
      <w:proofErr w:type="spellEnd"/>
      <w:r w:rsidRPr="00F30E8C">
        <w:rPr>
          <w:sz w:val="16"/>
          <w:szCs w:val="16"/>
        </w:rPr>
        <w:t>, 2019. Notas de población no.109.</w:t>
      </w:r>
      <w:r>
        <w:rPr>
          <w:sz w:val="16"/>
          <w:szCs w:val="16"/>
        </w:rPr>
        <w:t xml:space="preserve"> Recuperado en </w:t>
      </w:r>
      <w:hyperlink r:id="rId7" w:history="1">
        <w:r w:rsidRPr="00F30E8C">
          <w:rPr>
            <w:rStyle w:val="Hipervnculo"/>
            <w:sz w:val="16"/>
            <w:szCs w:val="16"/>
          </w:rPr>
          <w:t>https://repositorio.cepal.org/bitstream/handle/11362/45079/1/S1900612_Pena.pdf</w:t>
        </w:r>
      </w:hyperlink>
    </w:p>
    <w:p w14:paraId="76D8E71A" w14:textId="77777777" w:rsidR="006B0B4E" w:rsidRDefault="006B0B4E" w:rsidP="006B0B4E">
      <w:pPr>
        <w:pStyle w:val="Textonotapi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F4CBF"/>
    <w:multiLevelType w:val="hybridMultilevel"/>
    <w:tmpl w:val="AC4EA5A0"/>
    <w:lvl w:ilvl="0" w:tplc="775451C0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CF6"/>
    <w:rsid w:val="00003BFE"/>
    <w:rsid w:val="00004F48"/>
    <w:rsid w:val="000056E9"/>
    <w:rsid w:val="000111F5"/>
    <w:rsid w:val="00012862"/>
    <w:rsid w:val="00012AF1"/>
    <w:rsid w:val="00021ECF"/>
    <w:rsid w:val="00023EF8"/>
    <w:rsid w:val="0002658D"/>
    <w:rsid w:val="0002661F"/>
    <w:rsid w:val="0002741A"/>
    <w:rsid w:val="0004285C"/>
    <w:rsid w:val="0004363B"/>
    <w:rsid w:val="000536AB"/>
    <w:rsid w:val="00080EE0"/>
    <w:rsid w:val="00093AE9"/>
    <w:rsid w:val="000C4DAF"/>
    <w:rsid w:val="000D1521"/>
    <w:rsid w:val="000E67CD"/>
    <w:rsid w:val="00107562"/>
    <w:rsid w:val="00110F8E"/>
    <w:rsid w:val="001460ED"/>
    <w:rsid w:val="001506BD"/>
    <w:rsid w:val="001650E9"/>
    <w:rsid w:val="001665A8"/>
    <w:rsid w:val="00182033"/>
    <w:rsid w:val="00186C2E"/>
    <w:rsid w:val="001958D2"/>
    <w:rsid w:val="001B42BA"/>
    <w:rsid w:val="001B6647"/>
    <w:rsid w:val="001C2AB5"/>
    <w:rsid w:val="001C63FB"/>
    <w:rsid w:val="001D1E68"/>
    <w:rsid w:val="001D3882"/>
    <w:rsid w:val="001D6F02"/>
    <w:rsid w:val="001E4A89"/>
    <w:rsid w:val="001E64FE"/>
    <w:rsid w:val="001E7D72"/>
    <w:rsid w:val="0021015E"/>
    <w:rsid w:val="00215992"/>
    <w:rsid w:val="00220CF6"/>
    <w:rsid w:val="00221506"/>
    <w:rsid w:val="00224CBA"/>
    <w:rsid w:val="00224EFD"/>
    <w:rsid w:val="002365D5"/>
    <w:rsid w:val="00244B82"/>
    <w:rsid w:val="00271761"/>
    <w:rsid w:val="0027674A"/>
    <w:rsid w:val="0028418F"/>
    <w:rsid w:val="00290D38"/>
    <w:rsid w:val="00295CCB"/>
    <w:rsid w:val="00297211"/>
    <w:rsid w:val="00297970"/>
    <w:rsid w:val="002A2C06"/>
    <w:rsid w:val="002B016F"/>
    <w:rsid w:val="002C77D9"/>
    <w:rsid w:val="002D64B3"/>
    <w:rsid w:val="002E17F0"/>
    <w:rsid w:val="003026B5"/>
    <w:rsid w:val="00327D9F"/>
    <w:rsid w:val="00334C5B"/>
    <w:rsid w:val="003525D0"/>
    <w:rsid w:val="00384772"/>
    <w:rsid w:val="003A0D4E"/>
    <w:rsid w:val="003B59A6"/>
    <w:rsid w:val="003B7FEB"/>
    <w:rsid w:val="003C3247"/>
    <w:rsid w:val="004059D7"/>
    <w:rsid w:val="004142BB"/>
    <w:rsid w:val="00432099"/>
    <w:rsid w:val="00450E5A"/>
    <w:rsid w:val="00483081"/>
    <w:rsid w:val="00486E7D"/>
    <w:rsid w:val="00495CE7"/>
    <w:rsid w:val="004A492E"/>
    <w:rsid w:val="004B4A1F"/>
    <w:rsid w:val="004F5A0E"/>
    <w:rsid w:val="0050067A"/>
    <w:rsid w:val="005067C3"/>
    <w:rsid w:val="00516E05"/>
    <w:rsid w:val="00521AA2"/>
    <w:rsid w:val="00537BE2"/>
    <w:rsid w:val="00547157"/>
    <w:rsid w:val="005539FE"/>
    <w:rsid w:val="00563262"/>
    <w:rsid w:val="0056503F"/>
    <w:rsid w:val="005651BA"/>
    <w:rsid w:val="00582D23"/>
    <w:rsid w:val="005A21A3"/>
    <w:rsid w:val="005A37C7"/>
    <w:rsid w:val="005A3F84"/>
    <w:rsid w:val="005B715A"/>
    <w:rsid w:val="005F0B17"/>
    <w:rsid w:val="0061439A"/>
    <w:rsid w:val="00640D1B"/>
    <w:rsid w:val="00642968"/>
    <w:rsid w:val="00650E1A"/>
    <w:rsid w:val="00657538"/>
    <w:rsid w:val="00674D99"/>
    <w:rsid w:val="00681A9D"/>
    <w:rsid w:val="00695097"/>
    <w:rsid w:val="006B0B4E"/>
    <w:rsid w:val="006E6C83"/>
    <w:rsid w:val="006F1937"/>
    <w:rsid w:val="00702439"/>
    <w:rsid w:val="007043C3"/>
    <w:rsid w:val="00705AD3"/>
    <w:rsid w:val="00706E5E"/>
    <w:rsid w:val="00712BCA"/>
    <w:rsid w:val="007131B7"/>
    <w:rsid w:val="00715046"/>
    <w:rsid w:val="00721FF1"/>
    <w:rsid w:val="00730A16"/>
    <w:rsid w:val="0073347B"/>
    <w:rsid w:val="007354E5"/>
    <w:rsid w:val="0074434E"/>
    <w:rsid w:val="00751E2F"/>
    <w:rsid w:val="00763703"/>
    <w:rsid w:val="00766954"/>
    <w:rsid w:val="0077245C"/>
    <w:rsid w:val="0078427A"/>
    <w:rsid w:val="007955AB"/>
    <w:rsid w:val="007B0F46"/>
    <w:rsid w:val="007B1F74"/>
    <w:rsid w:val="007B239C"/>
    <w:rsid w:val="007C11FD"/>
    <w:rsid w:val="007C7AE2"/>
    <w:rsid w:val="007D11E6"/>
    <w:rsid w:val="007F26F0"/>
    <w:rsid w:val="00815F25"/>
    <w:rsid w:val="0081757F"/>
    <w:rsid w:val="00825547"/>
    <w:rsid w:val="00831CF8"/>
    <w:rsid w:val="008400B8"/>
    <w:rsid w:val="0084481B"/>
    <w:rsid w:val="008532ED"/>
    <w:rsid w:val="00864EA9"/>
    <w:rsid w:val="00885AA4"/>
    <w:rsid w:val="00893579"/>
    <w:rsid w:val="00894D43"/>
    <w:rsid w:val="008A0765"/>
    <w:rsid w:val="008C12EC"/>
    <w:rsid w:val="008C16AC"/>
    <w:rsid w:val="008E7A83"/>
    <w:rsid w:val="0091102D"/>
    <w:rsid w:val="009221C8"/>
    <w:rsid w:val="00931B7A"/>
    <w:rsid w:val="00935B53"/>
    <w:rsid w:val="00937222"/>
    <w:rsid w:val="00940D7C"/>
    <w:rsid w:val="0096074C"/>
    <w:rsid w:val="00972C2A"/>
    <w:rsid w:val="00981EE9"/>
    <w:rsid w:val="00984222"/>
    <w:rsid w:val="0099231F"/>
    <w:rsid w:val="009930B5"/>
    <w:rsid w:val="009A735C"/>
    <w:rsid w:val="009C2F41"/>
    <w:rsid w:val="009D396A"/>
    <w:rsid w:val="009D714D"/>
    <w:rsid w:val="009E591E"/>
    <w:rsid w:val="009F4197"/>
    <w:rsid w:val="009F7519"/>
    <w:rsid w:val="00A0304E"/>
    <w:rsid w:val="00A234D0"/>
    <w:rsid w:val="00A50646"/>
    <w:rsid w:val="00A66333"/>
    <w:rsid w:val="00A70D90"/>
    <w:rsid w:val="00A7632C"/>
    <w:rsid w:val="00A8249A"/>
    <w:rsid w:val="00A90E69"/>
    <w:rsid w:val="00AB5695"/>
    <w:rsid w:val="00AB5D44"/>
    <w:rsid w:val="00AC73C3"/>
    <w:rsid w:val="00AC7939"/>
    <w:rsid w:val="00AD1692"/>
    <w:rsid w:val="00AD3CDF"/>
    <w:rsid w:val="00AD6942"/>
    <w:rsid w:val="00AD7BE4"/>
    <w:rsid w:val="00AE7F81"/>
    <w:rsid w:val="00AF37B2"/>
    <w:rsid w:val="00B267D2"/>
    <w:rsid w:val="00B35CA4"/>
    <w:rsid w:val="00B514D9"/>
    <w:rsid w:val="00B529DC"/>
    <w:rsid w:val="00B53DE6"/>
    <w:rsid w:val="00B63961"/>
    <w:rsid w:val="00B65384"/>
    <w:rsid w:val="00B75B78"/>
    <w:rsid w:val="00B81EDD"/>
    <w:rsid w:val="00B8464D"/>
    <w:rsid w:val="00B937B9"/>
    <w:rsid w:val="00BC0948"/>
    <w:rsid w:val="00BC1223"/>
    <w:rsid w:val="00BC362F"/>
    <w:rsid w:val="00BC3D00"/>
    <w:rsid w:val="00BC62E7"/>
    <w:rsid w:val="00BE44B1"/>
    <w:rsid w:val="00BE54DA"/>
    <w:rsid w:val="00BF759D"/>
    <w:rsid w:val="00C02BFD"/>
    <w:rsid w:val="00C05975"/>
    <w:rsid w:val="00C10A24"/>
    <w:rsid w:val="00C20673"/>
    <w:rsid w:val="00C36A8D"/>
    <w:rsid w:val="00C36E8D"/>
    <w:rsid w:val="00C41827"/>
    <w:rsid w:val="00C61372"/>
    <w:rsid w:val="00CA1F43"/>
    <w:rsid w:val="00CB317C"/>
    <w:rsid w:val="00CB7802"/>
    <w:rsid w:val="00CC27DD"/>
    <w:rsid w:val="00CE1720"/>
    <w:rsid w:val="00CE5301"/>
    <w:rsid w:val="00CF53FB"/>
    <w:rsid w:val="00D00B89"/>
    <w:rsid w:val="00D25AE2"/>
    <w:rsid w:val="00D312F9"/>
    <w:rsid w:val="00D3237E"/>
    <w:rsid w:val="00D33FCE"/>
    <w:rsid w:val="00D37BDB"/>
    <w:rsid w:val="00D41F2D"/>
    <w:rsid w:val="00D46F71"/>
    <w:rsid w:val="00D90A8F"/>
    <w:rsid w:val="00DA2421"/>
    <w:rsid w:val="00DA3BB1"/>
    <w:rsid w:val="00DA4D5B"/>
    <w:rsid w:val="00DB0E8B"/>
    <w:rsid w:val="00DC28A3"/>
    <w:rsid w:val="00DC727A"/>
    <w:rsid w:val="00DD3BB9"/>
    <w:rsid w:val="00DE3DB4"/>
    <w:rsid w:val="00DF2AAA"/>
    <w:rsid w:val="00DF57DE"/>
    <w:rsid w:val="00E015F5"/>
    <w:rsid w:val="00E12C5A"/>
    <w:rsid w:val="00E2035C"/>
    <w:rsid w:val="00E34088"/>
    <w:rsid w:val="00E63531"/>
    <w:rsid w:val="00E71D35"/>
    <w:rsid w:val="00E9415F"/>
    <w:rsid w:val="00E94880"/>
    <w:rsid w:val="00EB7115"/>
    <w:rsid w:val="00ED276F"/>
    <w:rsid w:val="00ED28BA"/>
    <w:rsid w:val="00EF7120"/>
    <w:rsid w:val="00F004ED"/>
    <w:rsid w:val="00F03D5E"/>
    <w:rsid w:val="00F054B4"/>
    <w:rsid w:val="00F110E3"/>
    <w:rsid w:val="00F13B82"/>
    <w:rsid w:val="00F22E6E"/>
    <w:rsid w:val="00F30E8C"/>
    <w:rsid w:val="00F53D8A"/>
    <w:rsid w:val="00F64E58"/>
    <w:rsid w:val="00F70D82"/>
    <w:rsid w:val="00F96069"/>
    <w:rsid w:val="00FA4E1C"/>
    <w:rsid w:val="00FA5717"/>
    <w:rsid w:val="00FA7453"/>
    <w:rsid w:val="00FC5B03"/>
    <w:rsid w:val="00FD6785"/>
    <w:rsid w:val="00FE2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DC1FA"/>
  <w15:chartTrackingRefBased/>
  <w15:docId w15:val="{C401B9B8-6C06-4E7F-97AB-AA0C0A9F4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20CF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20CF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20CF6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38477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674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microsoft.com/office/2007/relationships/diagramDrawing" Target="diagrams/drawing2.xml"/><Relationship Id="rId26" Type="http://schemas.openxmlformats.org/officeDocument/2006/relationships/hyperlink" Target="http://aplicaciones.digestyc.gob.sv/observatorio.genero/uso_tiempo/index.aspx" TargetMode="External"/><Relationship Id="rId3" Type="http://schemas.openxmlformats.org/officeDocument/2006/relationships/styles" Target="styles.xml"/><Relationship Id="rId21" Type="http://schemas.openxmlformats.org/officeDocument/2006/relationships/diagramQuickStyle" Target="diagrams/quickStyle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diagramColors" Target="diagrams/colors2.xml"/><Relationship Id="rId25" Type="http://schemas.openxmlformats.org/officeDocument/2006/relationships/chart" Target="charts/chart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diagramLayout" Target="diagrams/layou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23" Type="http://schemas.microsoft.com/office/2007/relationships/diagramDrawing" Target="diagrams/drawing3.xml"/><Relationship Id="rId28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diagramData" Target="diagrams/data3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diagramData" Target="diagrams/data2.xml"/><Relationship Id="rId22" Type="http://schemas.openxmlformats.org/officeDocument/2006/relationships/diagramColors" Target="diagrams/colors3.xml"/><Relationship Id="rId27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oig.cepal.org/sites/default/files/2019-10_repositorio_uso_del_tiempo_esp.pdf" TargetMode="External"/><Relationship Id="rId7" Type="http://schemas.openxmlformats.org/officeDocument/2006/relationships/hyperlink" Target="https://repositorio.cepal.org/bitstream/handle/11362/45079/1/S1900612_Pena.pdf" TargetMode="External"/><Relationship Id="rId2" Type="http://schemas.openxmlformats.org/officeDocument/2006/relationships/hyperlink" Target="https://repositorio.cepal.org/bitstream/handle/11362/45079/1/S1900612_Pena.pdf" TargetMode="External"/><Relationship Id="rId1" Type="http://schemas.openxmlformats.org/officeDocument/2006/relationships/hyperlink" Target="https://www.asamblea.gob.sv/node/10325" TargetMode="External"/><Relationship Id="rId6" Type="http://schemas.openxmlformats.org/officeDocument/2006/relationships/hyperlink" Target="https://repositorio.cepal.org/bitstream/handle/11362/45079/1/S1900612_Pena.pdf" TargetMode="External"/><Relationship Id="rId5" Type="http://schemas.openxmlformats.org/officeDocument/2006/relationships/hyperlink" Target="http://www.digestyc.gob.sv/index.php/novedades/avisos/965-ya-se-encuentra-disponible-la-encuesta-de-hogares-de-propositos-multiples-2019.html" TargetMode="External"/><Relationship Id="rId4" Type="http://schemas.openxmlformats.org/officeDocument/2006/relationships/hyperlink" Target="https://www.bcr.gob.sv/bcrsite/uploaded/content/category/1272775791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SV" sz="1000" b="1" cap="none"/>
              <a:t>Comparativo</a:t>
            </a:r>
            <a:r>
              <a:rPr lang="es-SV" sz="1000" b="1" cap="none" baseline="0"/>
              <a:t> de la realización de labores domésticas de la Población Económicamente Inactiva en El Salvador 2015 - 2019</a:t>
            </a:r>
            <a:endParaRPr lang="es-SV" sz="1000" b="1" cap="none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all" spc="120" normalizeH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Hoja1!$B$2:$B$6</c:f>
              <c:numCache>
                <c:formatCode>0.00%</c:formatCode>
                <c:ptCount val="5"/>
                <c:pt idx="0">
                  <c:v>1.9E-2</c:v>
                </c:pt>
                <c:pt idx="1">
                  <c:v>1.2999999999999999E-2</c:v>
                </c:pt>
                <c:pt idx="2">
                  <c:v>1.7999999999999999E-2</c:v>
                </c:pt>
                <c:pt idx="3">
                  <c:v>2.4E-2</c:v>
                </c:pt>
                <c:pt idx="4">
                  <c:v>2.1999999999999999E-2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9BF-4ACE-BDCD-55EE17F27844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Hoja1!$A$2:$A$6</c:f>
              <c:numCache>
                <c:formatCode>General</c:formatCode>
                <c:ptCount val="5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  <c:pt idx="4">
                  <c:v>2019</c:v>
                </c:pt>
              </c:numCache>
            </c:numRef>
          </c:cat>
          <c:val>
            <c:numRef>
              <c:f>Hoja1!$C$2:$C$6</c:f>
              <c:numCache>
                <c:formatCode>0.00%</c:formatCode>
                <c:ptCount val="5"/>
                <c:pt idx="0">
                  <c:v>0.69599999999999995</c:v>
                </c:pt>
                <c:pt idx="1">
                  <c:v>0.68700000000000006</c:v>
                </c:pt>
                <c:pt idx="2">
                  <c:v>0.69499999999999995</c:v>
                </c:pt>
                <c:pt idx="3">
                  <c:v>0.69199999999999995</c:v>
                </c:pt>
                <c:pt idx="4">
                  <c:v>0.68300000000000005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9BF-4ACE-BDCD-55EE17F2784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871645167"/>
        <c:axId val="1876593151"/>
      </c:barChart>
      <c:catAx>
        <c:axId val="1871645167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876593151"/>
        <c:crosses val="autoZero"/>
        <c:auto val="1"/>
        <c:lblAlgn val="ctr"/>
        <c:lblOffset val="100"/>
        <c:noMultiLvlLbl val="0"/>
      </c:catAx>
      <c:valAx>
        <c:axId val="1876593151"/>
        <c:scaling>
          <c:orientation val="minMax"/>
        </c:scaling>
        <c:delete val="1"/>
        <c:axPos val="l"/>
        <c:numFmt formatCode="0.00%" sourceLinked="1"/>
        <c:majorTickMark val="none"/>
        <c:minorTickMark val="none"/>
        <c:tickLblPos val="nextTo"/>
        <c:crossAx val="187164516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solidFill>
          <a:schemeClr val="bg2">
            <a:lumMod val="75000"/>
            <a:alpha val="27000"/>
          </a:schemeClr>
        </a:solidFill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1.966744144466297E-2"/>
          <c:y val="1.0442991708264648E-3"/>
          <c:w val="0.8991550180132365"/>
          <c:h val="0.7799919650393208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Hoja1!$B$1</c:f>
              <c:strCache>
                <c:ptCount val="1"/>
                <c:pt idx="0">
                  <c:v>Mujeres</c:v>
                </c:pt>
              </c:strCache>
            </c:strRef>
          </c:tx>
          <c:spPr>
            <a:solidFill>
              <a:schemeClr val="accent6">
                <a:alpha val="88000"/>
              </a:schemeClr>
            </a:solidFill>
            <a:ln>
              <a:solidFill>
                <a:schemeClr val="accent6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6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6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Pagos y trámites</c:v>
                </c:pt>
                <c:pt idx="1">
                  <c:v>Limpieza de ropa y calzado</c:v>
                </c:pt>
                <c:pt idx="2">
                  <c:v>Preparación y servicio de comida</c:v>
                </c:pt>
                <c:pt idx="3">
                  <c:v>Limpieza y reparación de vivienda</c:v>
                </c:pt>
                <c:pt idx="4">
                  <c:v>Compras para el hogar</c:v>
                </c:pt>
                <c:pt idx="5">
                  <c:v>Cuidado de personas menores de 15 años</c:v>
                </c:pt>
                <c:pt idx="6">
                  <c:v>Cuidado de personas de 15 a 59 años</c:v>
                </c:pt>
                <c:pt idx="7">
                  <c:v>Cuidado de personas de 60 años o más</c:v>
                </c:pt>
                <c:pt idx="8">
                  <c:v>Cuidado de personas con dependencia permanente de todas las edades</c:v>
                </c:pt>
              </c:strCache>
            </c:strRef>
          </c:cat>
          <c:val>
            <c:numRef>
              <c:f>Hoja1!$B$2:$B$10</c:f>
              <c:numCache>
                <c:formatCode>h:mm</c:formatCode>
                <c:ptCount val="9"/>
                <c:pt idx="0">
                  <c:v>0.26319444444444445</c:v>
                </c:pt>
                <c:pt idx="1">
                  <c:v>0.33958333333333335</c:v>
                </c:pt>
                <c:pt idx="2">
                  <c:v>0.5756944444444444</c:v>
                </c:pt>
                <c:pt idx="3">
                  <c:v>0.22152777777777777</c:v>
                </c:pt>
                <c:pt idx="4">
                  <c:v>0.25</c:v>
                </c:pt>
                <c:pt idx="5">
                  <c:v>0.66319444444444442</c:v>
                </c:pt>
                <c:pt idx="6">
                  <c:v>0.31041666666666667</c:v>
                </c:pt>
                <c:pt idx="7">
                  <c:v>0.39374999999999999</c:v>
                </c:pt>
                <c:pt idx="8">
                  <c:v>0.77361111111111114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CB-4EDF-A55D-4C12E85E0C93}"/>
            </c:ext>
          </c:extLst>
        </c:ser>
        <c:ser>
          <c:idx val="1"/>
          <c:order val="1"/>
          <c:tx>
            <c:strRef>
              <c:f>Hoja1!$C$1</c:f>
              <c:strCache>
                <c:ptCount val="1"/>
                <c:pt idx="0">
                  <c:v>Hombres</c:v>
                </c:pt>
              </c:strCache>
            </c:strRef>
          </c:tx>
          <c:spPr>
            <a:solidFill>
              <a:schemeClr val="accent5">
                <a:alpha val="88000"/>
              </a:schemeClr>
            </a:solidFill>
            <a:ln>
              <a:solidFill>
                <a:schemeClr val="accent5">
                  <a:lumMod val="50000"/>
                </a:schemeClr>
              </a:solidFill>
            </a:ln>
            <a:effectLst/>
            <a:scene3d>
              <a:camera prst="orthographicFront"/>
              <a:lightRig rig="threePt" dir="t"/>
            </a:scene3d>
            <a:sp3d prstMaterial="flat">
              <a:contourClr>
                <a:schemeClr val="accent5">
                  <a:lumMod val="50000"/>
                </a:schemeClr>
              </a:contourClr>
            </a:sp3d>
          </c:spPr>
          <c:invertIfNegative val="0"/>
          <c:dLbls>
            <c:spPr>
              <a:solidFill>
                <a:schemeClr val="accent5">
                  <a:alpha val="30000"/>
                </a:schemeClr>
              </a:solidFill>
              <a:ln>
                <a:solidFill>
                  <a:schemeClr val="lt1">
                    <a:alpha val="50000"/>
                  </a:schemeClr>
                </a:solidFill>
                <a:round/>
              </a:ln>
              <a:effectLst>
                <a:outerShdw blurRad="63500" dist="889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lt1">
                          <a:lumMod val="50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Hoja1!$A$2:$A$10</c:f>
              <c:strCache>
                <c:ptCount val="9"/>
                <c:pt idx="0">
                  <c:v>Pagos y trámites</c:v>
                </c:pt>
                <c:pt idx="1">
                  <c:v>Limpieza de ropa y calzado</c:v>
                </c:pt>
                <c:pt idx="2">
                  <c:v>Preparación y servicio de comida</c:v>
                </c:pt>
                <c:pt idx="3">
                  <c:v>Limpieza y reparación de vivienda</c:v>
                </c:pt>
                <c:pt idx="4">
                  <c:v>Compras para el hogar</c:v>
                </c:pt>
                <c:pt idx="5">
                  <c:v>Cuidado de personas menores de 15 años</c:v>
                </c:pt>
                <c:pt idx="6">
                  <c:v>Cuidado de personas de 15 a 59 años</c:v>
                </c:pt>
                <c:pt idx="7">
                  <c:v>Cuidado de personas de 60 años o más</c:v>
                </c:pt>
                <c:pt idx="8">
                  <c:v>Cuidado de personas con dependencia permanente de todas las edades</c:v>
                </c:pt>
              </c:strCache>
            </c:strRef>
          </c:cat>
          <c:val>
            <c:numRef>
              <c:f>Hoja1!$C$2:$C$10</c:f>
              <c:numCache>
                <c:formatCode>h:mm</c:formatCode>
                <c:ptCount val="9"/>
                <c:pt idx="0">
                  <c:v>0.29652777777777778</c:v>
                </c:pt>
                <c:pt idx="1">
                  <c:v>0.19722222222222222</c:v>
                </c:pt>
                <c:pt idx="2">
                  <c:v>0.26666666666666666</c:v>
                </c:pt>
                <c:pt idx="3">
                  <c:v>0.1173611111111111</c:v>
                </c:pt>
                <c:pt idx="4">
                  <c:v>0.25833333333333336</c:v>
                </c:pt>
                <c:pt idx="5">
                  <c:v>0.4381944444444445</c:v>
                </c:pt>
                <c:pt idx="6">
                  <c:v>0.28263888888888888</c:v>
                </c:pt>
                <c:pt idx="7">
                  <c:v>0.39097222222222222</c:v>
                </c:pt>
                <c:pt idx="8">
                  <c:v>0.40277777777777773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ECB-4EDF-A55D-4C12E85E0C93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84"/>
        <c:gapDepth val="53"/>
        <c:shape val="box"/>
        <c:axId val="2124522175"/>
        <c:axId val="1669800495"/>
        <c:axId val="1953588351"/>
      </c:bar3DChart>
      <c:catAx>
        <c:axId val="212452217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69800495"/>
        <c:crosses val="autoZero"/>
        <c:auto val="1"/>
        <c:lblAlgn val="ctr"/>
        <c:lblOffset val="100"/>
        <c:noMultiLvlLbl val="0"/>
      </c:catAx>
      <c:valAx>
        <c:axId val="1669800495"/>
        <c:scaling>
          <c:orientation val="minMax"/>
        </c:scaling>
        <c:delete val="1"/>
        <c:axPos val="l"/>
        <c:numFmt formatCode="h:mm" sourceLinked="1"/>
        <c:majorTickMark val="out"/>
        <c:minorTickMark val="none"/>
        <c:tickLblPos val="nextTo"/>
        <c:crossAx val="2124522175"/>
        <c:crosses val="autoZero"/>
        <c:crossBetween val="between"/>
      </c:valAx>
      <c:serAx>
        <c:axId val="1953588351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  <c:crossAx val="1669800495"/>
        <c:crosses val="autoZero"/>
      </c:serAx>
      <c:spPr>
        <a:noFill/>
        <a:ln>
          <a:noFill/>
        </a:ln>
        <a:effectLst/>
      </c:spPr>
    </c:plotArea>
    <c:legend>
      <c:legendPos val="t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6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es-SV"/>
          </a:p>
        </c:txPr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baseline="0">
              <a:solidFill>
                <a:schemeClr val="lt1">
                  <a:lumMod val="75000"/>
                </a:schemeClr>
              </a:solidFill>
              <a:latin typeface="+mn-lt"/>
              <a:ea typeface="+mn-ea"/>
              <a:cs typeface="+mn-cs"/>
            </a:defRPr>
          </a:pPr>
          <a:endParaRPr lang="es-SV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dk1">
        <a:lumMod val="75000"/>
        <a:lumOff val="25000"/>
      </a:schemeClr>
    </a:solidFill>
    <a:ln w="6350" cap="flat" cmpd="sng" algn="ctr">
      <a:solidFill>
        <a:schemeClr val="dk1">
          <a:tint val="75000"/>
        </a:schemeClr>
      </a:solidFill>
      <a:round/>
    </a:ln>
    <a:effectLst/>
  </c:spPr>
  <c:txPr>
    <a:bodyPr/>
    <a:lstStyle/>
    <a:p>
      <a:pPr>
        <a:defRPr/>
      </a:pPr>
      <a:endParaRPr lang="es-SV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1">
  <cs:axisTitle>
    <cs:lnRef idx="0"/>
    <cs:fillRef idx="0"/>
    <cs:effectRef idx="0"/>
    <cs:fontRef idx="minor">
      <a:schemeClr val="lt1">
        <a:lumMod val="75000"/>
      </a:schemeClr>
    </cs:fontRef>
    <cs:defRPr sz="900" kern="1200"/>
  </cs:axisTitle>
  <cs:categoryAxis>
    <cs:lnRef idx="0"/>
    <cs:fillRef idx="0"/>
    <cs:effectRef idx="0"/>
    <cs:fontRef idx="minor">
      <a:schemeClr val="lt1">
        <a:lumMod val="75000"/>
      </a:schemeClr>
    </cs:fontRef>
    <cs:defRPr sz="900" kern="1200"/>
  </cs:categoryAxis>
  <cs:chartArea>
    <cs:lnRef idx="0"/>
    <cs:fillRef idx="0"/>
    <cs:effectRef idx="0"/>
    <cs:fontRef idx="minor">
      <a:schemeClr val="lt1"/>
    </cs:fontRef>
    <cs:spPr>
      <a:solidFill>
        <a:schemeClr val="dk1">
          <a:lumMod val="75000"/>
          <a:lumOff val="25000"/>
        </a:schemeClr>
      </a:solidFill>
      <a:ln w="6350" cap="flat" cmpd="sng" algn="ctr">
        <a:solidFill>
          <a:schemeClr val="dk1">
            <a:tint val="75000"/>
          </a:schemeClr>
        </a:solidFill>
        <a:round/>
      </a:ln>
    </cs:spPr>
    <cs:defRPr sz="1000" kern="1200"/>
  </cs:chartArea>
  <cs:dataLabel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</cs:dataLabel>
  <cs:dataLabelCallout>
    <cs:lnRef idx="0"/>
    <cs:fillRef idx="0">
      <cs:styleClr val="auto"/>
    </cs:fillRef>
    <cs:effectRef idx="0"/>
    <cs:fontRef idx="minor">
      <a:schemeClr val="lt1"/>
    </cs:fontRef>
    <cs:spPr>
      <a:solidFill>
        <a:schemeClr val="phClr">
          <a:alpha val="30000"/>
        </a:schemeClr>
      </a:solidFill>
      <a:ln>
        <a:solidFill>
          <a:schemeClr val="lt1">
            <a:alpha val="50000"/>
          </a:schemeClr>
        </a:solidFill>
        <a:round/>
      </a:ln>
      <a:effectLst>
        <a:outerShdw blurRad="63500" dist="88900" dir="2700000" algn="tl" rotWithShape="0">
          <a:prstClr val="black">
            <a:alpha val="40000"/>
          </a:prstClr>
        </a:outerShdw>
      </a:effectLst>
    </cs:spPr>
    <cs:defRPr sz="9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</cs:spPr>
  </cs:dataPoint>
  <cs:dataPoint3D>
    <cs:lnRef idx="0">
      <cs:styleClr val="auto"/>
    </cs:lnRef>
    <cs:fillRef idx="0">
      <cs:styleClr val="auto"/>
    </cs:fillRef>
    <cs:effectRef idx="0"/>
    <cs:fontRef idx="minor">
      <a:schemeClr val="tx1"/>
    </cs:fontRef>
    <cs:spPr>
      <a:solidFill>
        <a:schemeClr val="phClr">
          <a:alpha val="88000"/>
        </a:schemeClr>
      </a:solidFill>
      <a:ln>
        <a:solidFill>
          <a:schemeClr val="phClr">
            <a:lumMod val="50000"/>
          </a:schemeClr>
        </a:solidFill>
      </a:ln>
      <a:scene3d>
        <a:camera prst="orthographicFront"/>
        <a:lightRig rig="threePt" dir="t"/>
      </a:scene3d>
      <a:sp3d prstMaterial="flat"/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dk1">
            <a:lumMod val="75000"/>
            <a:lumOff val="25000"/>
          </a:schemeClr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75000"/>
      </a:schemeClr>
    </cs:fontRef>
    <cs:spPr>
      <a:ln w="9525">
        <a:solidFill>
          <a:schemeClr val="dk1">
            <a:lumMod val="50000"/>
            <a:lumOff val="50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lt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7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solidFill>
        <a:schemeClr val="bg2">
          <a:lumMod val="75000"/>
          <a:alpha val="27000"/>
        </a:schemeClr>
      </a:solidFill>
      <a:sp3d/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lt1">
            <a:lumMod val="50000"/>
          </a:schemeClr>
        </a:solidFill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lt1">
            <a:lumMod val="40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leaderLine>
  <cs:legend>
    <cs:lnRef idx="0"/>
    <cs:fillRef idx="0"/>
    <cs:effectRef idx="0"/>
    <cs:fontRef idx="minor">
      <a:schemeClr val="lt1">
        <a:lumMod val="7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7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lt1">
            <a:lumMod val="50000"/>
          </a:schemeClr>
        </a:solidFill>
        <a:round/>
      </a:ln>
    </cs:spPr>
  </cs:seriesLine>
  <cs:title>
    <cs:lnRef idx="0"/>
    <cs:fillRef idx="0"/>
    <cs:effectRef idx="0"/>
    <cs:fontRef idx="minor">
      <a:schemeClr val="lt1"/>
    </cs:fontRef>
    <cs:defRPr sz="1800" b="0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>
            <a:alpha val="50000"/>
          </a:schemeClr>
        </a:solidFill>
      </a:ln>
    </cs:spPr>
  </cs:trendline>
  <cs:trendlineLabel>
    <cs:lnRef idx="0"/>
    <cs:fillRef idx="0"/>
    <cs:effectRef idx="0"/>
    <cs:fontRef idx="minor">
      <a:schemeClr val="lt1">
        <a:lumMod val="7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85000"/>
        </a:schemeClr>
      </a:solidFill>
      <a:ln w="9525">
        <a:solidFill>
          <a:schemeClr val="dk1">
            <a:lumMod val="50000"/>
          </a:schemeClr>
        </a:solidFill>
        <a:round/>
      </a:ln>
    </cs:spPr>
  </cs:upBar>
  <cs:valueAxis>
    <cs:lnRef idx="0"/>
    <cs:fillRef idx="0"/>
    <cs:effectRef idx="0"/>
    <cs:fontRef idx="minor">
      <a:schemeClr val="lt1">
        <a:lumMod val="7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sp3d/>
    </cs:spPr>
  </cs:wall>
</cs:chartStyl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EB39D62-C1FF-4139-84DC-BFFD48F8FADA}" type="doc">
      <dgm:prSet loTypeId="urn:microsoft.com/office/officeart/2005/8/layout/chevron2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s-ES"/>
        </a:p>
      </dgm:t>
    </dgm:pt>
    <dgm:pt modelId="{8BA10973-DF52-4DFA-881F-6589D7DEF019}">
      <dgm:prSet phldrT="[Texto]"/>
      <dgm:spPr/>
      <dgm:t>
        <a:bodyPr/>
        <a:lstStyle/>
        <a:p>
          <a:r>
            <a:rPr lang="es-ES"/>
            <a:t>a.</a:t>
          </a:r>
        </a:p>
      </dgm:t>
    </dgm:pt>
    <dgm:pt modelId="{190A7982-212A-4508-BFBB-346251F7EBC9}" type="parTrans" cxnId="{4163739D-8FF9-4C7B-8A26-E7E1B83C48B5}">
      <dgm:prSet/>
      <dgm:spPr/>
      <dgm:t>
        <a:bodyPr/>
        <a:lstStyle/>
        <a:p>
          <a:endParaRPr lang="es-ES"/>
        </a:p>
      </dgm:t>
    </dgm:pt>
    <dgm:pt modelId="{89EC4AEB-DA7B-4409-B79F-BE51614D0359}" type="sibTrans" cxnId="{4163739D-8FF9-4C7B-8A26-E7E1B83C48B5}">
      <dgm:prSet/>
      <dgm:spPr/>
      <dgm:t>
        <a:bodyPr/>
        <a:lstStyle/>
        <a:p>
          <a:endParaRPr lang="es-ES"/>
        </a:p>
      </dgm:t>
    </dgm:pt>
    <dgm:pt modelId="{0A2F27BA-14EF-44A8-A267-EEC9559968C7}">
      <dgm:prSet phldrT="[Texto]" custT="1"/>
      <dgm:spPr/>
      <dgm:t>
        <a:bodyPr/>
        <a:lstStyle/>
        <a:p>
          <a:pPr algn="just"/>
          <a:r>
            <a:rPr lang="es-SV" sz="1000"/>
            <a:t>Instalar y mantener salas cunas y lugares de custodia en un lugar anexo e independiente al lugar de trabajo dentro de la misma área geográfica, en tal caso los costos de la contratación del personal capacitado y la habilitación del centro correrán por cuenta del patrono.</a:t>
          </a:r>
          <a:endParaRPr lang="es-ES" sz="1000"/>
        </a:p>
      </dgm:t>
    </dgm:pt>
    <dgm:pt modelId="{33DCB2AE-FBCB-4D3C-80FF-FBBD0BC9210A}" type="parTrans" cxnId="{BEEB3455-70DC-41C6-A7D9-553F6AA6246B}">
      <dgm:prSet/>
      <dgm:spPr/>
      <dgm:t>
        <a:bodyPr/>
        <a:lstStyle/>
        <a:p>
          <a:endParaRPr lang="es-ES"/>
        </a:p>
      </dgm:t>
    </dgm:pt>
    <dgm:pt modelId="{81522A35-309B-46EE-8D6E-2C84595F3F57}" type="sibTrans" cxnId="{BEEB3455-70DC-41C6-A7D9-553F6AA6246B}">
      <dgm:prSet/>
      <dgm:spPr/>
      <dgm:t>
        <a:bodyPr/>
        <a:lstStyle/>
        <a:p>
          <a:endParaRPr lang="es-ES"/>
        </a:p>
      </dgm:t>
    </dgm:pt>
    <dgm:pt modelId="{7D51A8D2-8701-4414-BD1C-C5B486BC18A2}">
      <dgm:prSet phldrT="[Texto]"/>
      <dgm:spPr/>
      <dgm:t>
        <a:bodyPr/>
        <a:lstStyle/>
        <a:p>
          <a:r>
            <a:rPr lang="es-ES"/>
            <a:t>b.</a:t>
          </a:r>
        </a:p>
      </dgm:t>
    </dgm:pt>
    <dgm:pt modelId="{41F39C9D-1B93-4360-852E-5D28BBFBE80B}" type="parTrans" cxnId="{DF7357FB-EF50-4300-BFC5-AFC353DDE062}">
      <dgm:prSet/>
      <dgm:spPr/>
      <dgm:t>
        <a:bodyPr/>
        <a:lstStyle/>
        <a:p>
          <a:endParaRPr lang="es-ES"/>
        </a:p>
      </dgm:t>
    </dgm:pt>
    <dgm:pt modelId="{949107C5-0AFE-4293-B120-C7AA9F01446C}" type="sibTrans" cxnId="{DF7357FB-EF50-4300-BFC5-AFC353DDE062}">
      <dgm:prSet/>
      <dgm:spPr/>
      <dgm:t>
        <a:bodyPr/>
        <a:lstStyle/>
        <a:p>
          <a:endParaRPr lang="es-ES"/>
        </a:p>
      </dgm:t>
    </dgm:pt>
    <dgm:pt modelId="{25639F8E-73F1-41A8-B74C-5B036B7ED8F1}">
      <dgm:prSet phldrT="[Texto]" custT="1"/>
      <dgm:spPr/>
      <dgm:t>
        <a:bodyPr/>
        <a:lstStyle/>
        <a:p>
          <a:r>
            <a:rPr lang="es-SV" sz="1000"/>
            <a:t>Por medio de la instalación y mantenimiento de un centro común de salas cunas y lugar de custodia, que sea costeado por varias empresas o establecimientos de trabajo.</a:t>
          </a:r>
          <a:endParaRPr lang="es-ES" sz="1000"/>
        </a:p>
      </dgm:t>
    </dgm:pt>
    <dgm:pt modelId="{693029CD-0E60-4D92-B82C-63A5F1FDC6DD}" type="parTrans" cxnId="{C5A93CAC-128F-48A2-8509-042AD4AC7C3D}">
      <dgm:prSet/>
      <dgm:spPr/>
      <dgm:t>
        <a:bodyPr/>
        <a:lstStyle/>
        <a:p>
          <a:endParaRPr lang="es-ES"/>
        </a:p>
      </dgm:t>
    </dgm:pt>
    <dgm:pt modelId="{0D903EB8-B0AD-4746-ADDD-31FF4C654678}" type="sibTrans" cxnId="{C5A93CAC-128F-48A2-8509-042AD4AC7C3D}">
      <dgm:prSet/>
      <dgm:spPr/>
      <dgm:t>
        <a:bodyPr/>
        <a:lstStyle/>
        <a:p>
          <a:endParaRPr lang="es-ES"/>
        </a:p>
      </dgm:t>
    </dgm:pt>
    <dgm:pt modelId="{471E5CE8-E31F-4E85-9CBA-37CDA4838E79}">
      <dgm:prSet phldrT="[Texto]"/>
      <dgm:spPr/>
      <dgm:t>
        <a:bodyPr/>
        <a:lstStyle/>
        <a:p>
          <a:r>
            <a:rPr lang="es-ES"/>
            <a:t>c.</a:t>
          </a:r>
        </a:p>
      </dgm:t>
    </dgm:pt>
    <dgm:pt modelId="{D16DFBCC-D0F2-4C7B-8A77-74D5D534DB2A}" type="parTrans" cxnId="{028B22BA-0484-45E9-B46D-31690D1F66CA}">
      <dgm:prSet/>
      <dgm:spPr/>
      <dgm:t>
        <a:bodyPr/>
        <a:lstStyle/>
        <a:p>
          <a:endParaRPr lang="es-ES"/>
        </a:p>
      </dgm:t>
    </dgm:pt>
    <dgm:pt modelId="{25676848-1750-428C-8A15-5E1A8251BC22}" type="sibTrans" cxnId="{028B22BA-0484-45E9-B46D-31690D1F66CA}">
      <dgm:prSet/>
      <dgm:spPr/>
      <dgm:t>
        <a:bodyPr/>
        <a:lstStyle/>
        <a:p>
          <a:endParaRPr lang="es-ES"/>
        </a:p>
      </dgm:t>
    </dgm:pt>
    <dgm:pt modelId="{CF24C8FB-4E19-4E4A-814E-7DADEE6A5BFC}">
      <dgm:prSet phldrT="[Texto]" custT="1"/>
      <dgm:spPr/>
      <dgm:t>
        <a:bodyPr/>
        <a:lstStyle/>
        <a:p>
          <a:r>
            <a:rPr lang="es-SV" sz="1000"/>
            <a:t>A través del pago de las salas cunas y lugares de custodia que presten tales servicios con carácter independiente a la empresa o establecimiento de trabajo, de forma profesional y habitual, que decida el patrono.</a:t>
          </a:r>
          <a:endParaRPr lang="es-ES" sz="1000"/>
        </a:p>
      </dgm:t>
    </dgm:pt>
    <dgm:pt modelId="{57854305-CDCB-4396-9161-E59CBA24F124}" type="parTrans" cxnId="{BFB7C621-586C-42B3-9FF2-F6AF8B871649}">
      <dgm:prSet/>
      <dgm:spPr/>
      <dgm:t>
        <a:bodyPr/>
        <a:lstStyle/>
        <a:p>
          <a:endParaRPr lang="es-ES"/>
        </a:p>
      </dgm:t>
    </dgm:pt>
    <dgm:pt modelId="{C4C2D2BD-B6CC-431F-ACD2-3FAE9322D37C}" type="sibTrans" cxnId="{BFB7C621-586C-42B3-9FF2-F6AF8B871649}">
      <dgm:prSet/>
      <dgm:spPr/>
      <dgm:t>
        <a:bodyPr/>
        <a:lstStyle/>
        <a:p>
          <a:endParaRPr lang="es-ES"/>
        </a:p>
      </dgm:t>
    </dgm:pt>
    <dgm:pt modelId="{820C1867-F0EE-46AF-9085-2CE50E322B36}" type="pres">
      <dgm:prSet presAssocID="{DEB39D62-C1FF-4139-84DC-BFFD48F8FADA}" presName="linearFlow" presStyleCnt="0">
        <dgm:presLayoutVars>
          <dgm:dir/>
          <dgm:animLvl val="lvl"/>
          <dgm:resizeHandles val="exact"/>
        </dgm:presLayoutVars>
      </dgm:prSet>
      <dgm:spPr/>
    </dgm:pt>
    <dgm:pt modelId="{E8B9DC5D-61E0-41FF-A732-0003CA64BE79}" type="pres">
      <dgm:prSet presAssocID="{8BA10973-DF52-4DFA-881F-6589D7DEF019}" presName="composite" presStyleCnt="0"/>
      <dgm:spPr/>
    </dgm:pt>
    <dgm:pt modelId="{0A222969-FEA7-490C-A864-E4E9FD7BEDB0}" type="pres">
      <dgm:prSet presAssocID="{8BA10973-DF52-4DFA-881F-6589D7DEF019}" presName="parentText" presStyleLbl="alignNode1" presStyleIdx="0" presStyleCnt="3">
        <dgm:presLayoutVars>
          <dgm:chMax val="1"/>
          <dgm:bulletEnabled val="1"/>
        </dgm:presLayoutVars>
      </dgm:prSet>
      <dgm:spPr/>
    </dgm:pt>
    <dgm:pt modelId="{5FA22DB0-C76E-4F8A-94C3-5156FB8B8581}" type="pres">
      <dgm:prSet presAssocID="{8BA10973-DF52-4DFA-881F-6589D7DEF019}" presName="descendantText" presStyleLbl="alignAcc1" presStyleIdx="0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C1792216-828F-4D6C-8732-9F175FBCC28A}" type="pres">
      <dgm:prSet presAssocID="{89EC4AEB-DA7B-4409-B79F-BE51614D0359}" presName="sp" presStyleCnt="0"/>
      <dgm:spPr/>
    </dgm:pt>
    <dgm:pt modelId="{8BA85612-BEB0-4823-939B-39CAD3E51EF2}" type="pres">
      <dgm:prSet presAssocID="{7D51A8D2-8701-4414-BD1C-C5B486BC18A2}" presName="composite" presStyleCnt="0"/>
      <dgm:spPr/>
    </dgm:pt>
    <dgm:pt modelId="{4307ED42-4850-4AC0-A72C-038AA45634D4}" type="pres">
      <dgm:prSet presAssocID="{7D51A8D2-8701-4414-BD1C-C5B486BC18A2}" presName="parentText" presStyleLbl="alignNode1" presStyleIdx="1" presStyleCnt="3">
        <dgm:presLayoutVars>
          <dgm:chMax val="1"/>
          <dgm:bulletEnabled val="1"/>
        </dgm:presLayoutVars>
      </dgm:prSet>
      <dgm:spPr/>
    </dgm:pt>
    <dgm:pt modelId="{12CC2A58-E837-47D8-BD76-36E27A57E33D}" type="pres">
      <dgm:prSet presAssocID="{7D51A8D2-8701-4414-BD1C-C5B486BC18A2}" presName="descendantText" presStyleLbl="alignAcc1" presStyleIdx="1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  <dgm:pt modelId="{8D377687-9BAA-4F55-AA83-181CCE79BCA9}" type="pres">
      <dgm:prSet presAssocID="{949107C5-0AFE-4293-B120-C7AA9F01446C}" presName="sp" presStyleCnt="0"/>
      <dgm:spPr/>
    </dgm:pt>
    <dgm:pt modelId="{CB900185-93E3-41A5-85E7-BC89772601E7}" type="pres">
      <dgm:prSet presAssocID="{471E5CE8-E31F-4E85-9CBA-37CDA4838E79}" presName="composite" presStyleCnt="0"/>
      <dgm:spPr/>
    </dgm:pt>
    <dgm:pt modelId="{6B3A51E5-E57C-4C68-A407-CFF23E8A9483}" type="pres">
      <dgm:prSet presAssocID="{471E5CE8-E31F-4E85-9CBA-37CDA4838E79}" presName="parentText" presStyleLbl="alignNode1" presStyleIdx="2" presStyleCnt="3">
        <dgm:presLayoutVars>
          <dgm:chMax val="1"/>
          <dgm:bulletEnabled val="1"/>
        </dgm:presLayoutVars>
      </dgm:prSet>
      <dgm:spPr/>
    </dgm:pt>
    <dgm:pt modelId="{7A90DBD2-E5CD-446B-ADD6-3EAE0B469A8B}" type="pres">
      <dgm:prSet presAssocID="{471E5CE8-E31F-4E85-9CBA-37CDA4838E79}" presName="descendantText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s-ES"/>
        </a:p>
      </dgm:t>
    </dgm:pt>
  </dgm:ptLst>
  <dgm:cxnLst>
    <dgm:cxn modelId="{DF7357FB-EF50-4300-BFC5-AFC353DDE062}" srcId="{DEB39D62-C1FF-4139-84DC-BFFD48F8FADA}" destId="{7D51A8D2-8701-4414-BD1C-C5B486BC18A2}" srcOrd="1" destOrd="0" parTransId="{41F39C9D-1B93-4360-852E-5D28BBFBE80B}" sibTransId="{949107C5-0AFE-4293-B120-C7AA9F01446C}"/>
    <dgm:cxn modelId="{DC09FD7C-3BAD-4C5D-9AE3-0376EE3F1668}" type="presOf" srcId="{471E5CE8-E31F-4E85-9CBA-37CDA4838E79}" destId="{6B3A51E5-E57C-4C68-A407-CFF23E8A9483}" srcOrd="0" destOrd="0" presId="urn:microsoft.com/office/officeart/2005/8/layout/chevron2"/>
    <dgm:cxn modelId="{79C359EF-1C92-4215-8CE7-82D51EF0323D}" type="presOf" srcId="{25639F8E-73F1-41A8-B74C-5B036B7ED8F1}" destId="{12CC2A58-E837-47D8-BD76-36E27A57E33D}" srcOrd="0" destOrd="0" presId="urn:microsoft.com/office/officeart/2005/8/layout/chevron2"/>
    <dgm:cxn modelId="{BFB7C621-586C-42B3-9FF2-F6AF8B871649}" srcId="{471E5CE8-E31F-4E85-9CBA-37CDA4838E79}" destId="{CF24C8FB-4E19-4E4A-814E-7DADEE6A5BFC}" srcOrd="0" destOrd="0" parTransId="{57854305-CDCB-4396-9161-E59CBA24F124}" sibTransId="{C4C2D2BD-B6CC-431F-ACD2-3FAE9322D37C}"/>
    <dgm:cxn modelId="{BEEB3455-70DC-41C6-A7D9-553F6AA6246B}" srcId="{8BA10973-DF52-4DFA-881F-6589D7DEF019}" destId="{0A2F27BA-14EF-44A8-A267-EEC9559968C7}" srcOrd="0" destOrd="0" parTransId="{33DCB2AE-FBCB-4D3C-80FF-FBBD0BC9210A}" sibTransId="{81522A35-309B-46EE-8D6E-2C84595F3F57}"/>
    <dgm:cxn modelId="{FA0824C9-48B2-415D-8CAE-EA22DB857AB3}" type="presOf" srcId="{0A2F27BA-14EF-44A8-A267-EEC9559968C7}" destId="{5FA22DB0-C76E-4F8A-94C3-5156FB8B8581}" srcOrd="0" destOrd="0" presId="urn:microsoft.com/office/officeart/2005/8/layout/chevron2"/>
    <dgm:cxn modelId="{C5A93CAC-128F-48A2-8509-042AD4AC7C3D}" srcId="{7D51A8D2-8701-4414-BD1C-C5B486BC18A2}" destId="{25639F8E-73F1-41A8-B74C-5B036B7ED8F1}" srcOrd="0" destOrd="0" parTransId="{693029CD-0E60-4D92-B82C-63A5F1FDC6DD}" sibTransId="{0D903EB8-B0AD-4746-ADDD-31FF4C654678}"/>
    <dgm:cxn modelId="{028B22BA-0484-45E9-B46D-31690D1F66CA}" srcId="{DEB39D62-C1FF-4139-84DC-BFFD48F8FADA}" destId="{471E5CE8-E31F-4E85-9CBA-37CDA4838E79}" srcOrd="2" destOrd="0" parTransId="{D16DFBCC-D0F2-4C7B-8A77-74D5D534DB2A}" sibTransId="{25676848-1750-428C-8A15-5E1A8251BC22}"/>
    <dgm:cxn modelId="{CD1EC9DC-A84F-46D5-9D90-A0A0E34FECC5}" type="presOf" srcId="{8BA10973-DF52-4DFA-881F-6589D7DEF019}" destId="{0A222969-FEA7-490C-A864-E4E9FD7BEDB0}" srcOrd="0" destOrd="0" presId="urn:microsoft.com/office/officeart/2005/8/layout/chevron2"/>
    <dgm:cxn modelId="{4163739D-8FF9-4C7B-8A26-E7E1B83C48B5}" srcId="{DEB39D62-C1FF-4139-84DC-BFFD48F8FADA}" destId="{8BA10973-DF52-4DFA-881F-6589D7DEF019}" srcOrd="0" destOrd="0" parTransId="{190A7982-212A-4508-BFBB-346251F7EBC9}" sibTransId="{89EC4AEB-DA7B-4409-B79F-BE51614D0359}"/>
    <dgm:cxn modelId="{F478DF8E-FA04-4B1C-9A84-A79CC1E69299}" type="presOf" srcId="{7D51A8D2-8701-4414-BD1C-C5B486BC18A2}" destId="{4307ED42-4850-4AC0-A72C-038AA45634D4}" srcOrd="0" destOrd="0" presId="urn:microsoft.com/office/officeart/2005/8/layout/chevron2"/>
    <dgm:cxn modelId="{B7310F81-9199-438B-997E-300E4CBAD192}" type="presOf" srcId="{DEB39D62-C1FF-4139-84DC-BFFD48F8FADA}" destId="{820C1867-F0EE-46AF-9085-2CE50E322B36}" srcOrd="0" destOrd="0" presId="urn:microsoft.com/office/officeart/2005/8/layout/chevron2"/>
    <dgm:cxn modelId="{53A43FD9-BEF0-40C9-B1DD-FE7411445F7A}" type="presOf" srcId="{CF24C8FB-4E19-4E4A-814E-7DADEE6A5BFC}" destId="{7A90DBD2-E5CD-446B-ADD6-3EAE0B469A8B}" srcOrd="0" destOrd="0" presId="urn:microsoft.com/office/officeart/2005/8/layout/chevron2"/>
    <dgm:cxn modelId="{8924BBF6-1306-4C7C-8991-4C7940EE2C15}" type="presParOf" srcId="{820C1867-F0EE-46AF-9085-2CE50E322B36}" destId="{E8B9DC5D-61E0-41FF-A732-0003CA64BE79}" srcOrd="0" destOrd="0" presId="urn:microsoft.com/office/officeart/2005/8/layout/chevron2"/>
    <dgm:cxn modelId="{EC15FC5B-4DE1-4981-96D4-155E577F7F34}" type="presParOf" srcId="{E8B9DC5D-61E0-41FF-A732-0003CA64BE79}" destId="{0A222969-FEA7-490C-A864-E4E9FD7BEDB0}" srcOrd="0" destOrd="0" presId="urn:microsoft.com/office/officeart/2005/8/layout/chevron2"/>
    <dgm:cxn modelId="{A5566F36-A19C-4A59-86CD-04A773BA01BB}" type="presParOf" srcId="{E8B9DC5D-61E0-41FF-A732-0003CA64BE79}" destId="{5FA22DB0-C76E-4F8A-94C3-5156FB8B8581}" srcOrd="1" destOrd="0" presId="urn:microsoft.com/office/officeart/2005/8/layout/chevron2"/>
    <dgm:cxn modelId="{2E2CC82D-93D8-4B5F-AF11-C87A86EBE5D7}" type="presParOf" srcId="{820C1867-F0EE-46AF-9085-2CE50E322B36}" destId="{C1792216-828F-4D6C-8732-9F175FBCC28A}" srcOrd="1" destOrd="0" presId="urn:microsoft.com/office/officeart/2005/8/layout/chevron2"/>
    <dgm:cxn modelId="{42E6C630-986C-48AA-B417-74B45A834A65}" type="presParOf" srcId="{820C1867-F0EE-46AF-9085-2CE50E322B36}" destId="{8BA85612-BEB0-4823-939B-39CAD3E51EF2}" srcOrd="2" destOrd="0" presId="urn:microsoft.com/office/officeart/2005/8/layout/chevron2"/>
    <dgm:cxn modelId="{C2268597-8845-4048-97E0-6D50F9C6374D}" type="presParOf" srcId="{8BA85612-BEB0-4823-939B-39CAD3E51EF2}" destId="{4307ED42-4850-4AC0-A72C-038AA45634D4}" srcOrd="0" destOrd="0" presId="urn:microsoft.com/office/officeart/2005/8/layout/chevron2"/>
    <dgm:cxn modelId="{6733D36B-DC36-4B5C-80C0-4B175DA4879C}" type="presParOf" srcId="{8BA85612-BEB0-4823-939B-39CAD3E51EF2}" destId="{12CC2A58-E837-47D8-BD76-36E27A57E33D}" srcOrd="1" destOrd="0" presId="urn:microsoft.com/office/officeart/2005/8/layout/chevron2"/>
    <dgm:cxn modelId="{187FB728-CB37-4814-9531-7F54AFDCCAA7}" type="presParOf" srcId="{820C1867-F0EE-46AF-9085-2CE50E322B36}" destId="{8D377687-9BAA-4F55-AA83-181CCE79BCA9}" srcOrd="3" destOrd="0" presId="urn:microsoft.com/office/officeart/2005/8/layout/chevron2"/>
    <dgm:cxn modelId="{EE7206B4-8D6B-4CAE-B170-AD2A866F3CBE}" type="presParOf" srcId="{820C1867-F0EE-46AF-9085-2CE50E322B36}" destId="{CB900185-93E3-41A5-85E7-BC89772601E7}" srcOrd="4" destOrd="0" presId="urn:microsoft.com/office/officeart/2005/8/layout/chevron2"/>
    <dgm:cxn modelId="{0C76249E-2894-4B1F-912C-7AAF7B8C96A3}" type="presParOf" srcId="{CB900185-93E3-41A5-85E7-BC89772601E7}" destId="{6B3A51E5-E57C-4C68-A407-CFF23E8A9483}" srcOrd="0" destOrd="0" presId="urn:microsoft.com/office/officeart/2005/8/layout/chevron2"/>
    <dgm:cxn modelId="{0B40C345-4A37-4396-94AF-83B41A672450}" type="presParOf" srcId="{CB900185-93E3-41A5-85E7-BC89772601E7}" destId="{7A90DBD2-E5CD-446B-ADD6-3EAE0B469A8B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EAC3C5D-272C-4213-8EBA-1E4C1B6519D7}" type="doc">
      <dgm:prSet loTypeId="urn:microsoft.com/office/officeart/2005/8/layout/process5" loCatId="process" qsTypeId="urn:microsoft.com/office/officeart/2005/8/quickstyle/simple5" qsCatId="simple" csTypeId="urn:microsoft.com/office/officeart/2005/8/colors/colorful1" csCatId="colorful" phldr="1"/>
      <dgm:spPr/>
    </dgm:pt>
    <dgm:pt modelId="{DC34BF8F-61B6-4521-9EBD-7F1AB96BAFBD}">
      <dgm:prSet phldrT="[Texto]" custT="1"/>
      <dgm:spPr/>
      <dgm:t>
        <a:bodyPr/>
        <a:lstStyle/>
        <a:p>
          <a:r>
            <a:rPr lang="es-SV" sz="1000"/>
            <a:t>Creación de empleo decente, dar continuidad a la Política Nacional de Fomento, Diversificación y Transformación Productiva de El Salvador</a:t>
          </a:r>
          <a:endParaRPr lang="es-ES" sz="1000"/>
        </a:p>
      </dgm:t>
    </dgm:pt>
    <dgm:pt modelId="{71106EFD-6F14-4367-A83A-D04DC9762C7D}" type="parTrans" cxnId="{5BFDE6D5-DEA5-49CC-8676-B3A310AF370A}">
      <dgm:prSet/>
      <dgm:spPr/>
      <dgm:t>
        <a:bodyPr/>
        <a:lstStyle/>
        <a:p>
          <a:endParaRPr lang="es-ES"/>
        </a:p>
      </dgm:t>
    </dgm:pt>
    <dgm:pt modelId="{AB6DE98F-01B0-4C5A-9ECA-33F468DE35E1}" type="sibTrans" cxnId="{5BFDE6D5-DEA5-49CC-8676-B3A310AF370A}">
      <dgm:prSet/>
      <dgm:spPr/>
      <dgm:t>
        <a:bodyPr/>
        <a:lstStyle/>
        <a:p>
          <a:endParaRPr lang="es-ES"/>
        </a:p>
      </dgm:t>
    </dgm:pt>
    <dgm:pt modelId="{13AA0C16-710A-40EF-A85A-E5348E698F9E}">
      <dgm:prSet phldrT="[Texto]" custT="1"/>
      <dgm:spPr/>
      <dgm:t>
        <a:bodyPr/>
        <a:lstStyle/>
        <a:p>
          <a:r>
            <a:rPr lang="es-SV" sz="1000"/>
            <a:t>Fomentar creación de puestos de trabajo que faciliten el acceso a la seguridad social</a:t>
          </a:r>
          <a:endParaRPr lang="es-ES" sz="1000"/>
        </a:p>
      </dgm:t>
    </dgm:pt>
    <dgm:pt modelId="{2977DD03-277E-4595-80BD-A77606F528D8}" type="parTrans" cxnId="{DA1560F8-AC84-4696-881B-A8271022D55E}">
      <dgm:prSet/>
      <dgm:spPr/>
      <dgm:t>
        <a:bodyPr/>
        <a:lstStyle/>
        <a:p>
          <a:endParaRPr lang="es-ES"/>
        </a:p>
      </dgm:t>
    </dgm:pt>
    <dgm:pt modelId="{FAB69C71-7016-4435-8E0A-40DDE7C3E4B8}" type="sibTrans" cxnId="{DA1560F8-AC84-4696-881B-A8271022D55E}">
      <dgm:prSet/>
      <dgm:spPr/>
      <dgm:t>
        <a:bodyPr/>
        <a:lstStyle/>
        <a:p>
          <a:endParaRPr lang="es-ES"/>
        </a:p>
      </dgm:t>
    </dgm:pt>
    <dgm:pt modelId="{BF0707A8-0F97-4D4C-994C-6E5428237AE0}">
      <dgm:prSet phldrT="[Texto]" custT="1"/>
      <dgm:spPr/>
      <dgm:t>
        <a:bodyPr/>
        <a:lstStyle/>
        <a:p>
          <a:r>
            <a:rPr lang="es-SV" sz="1000"/>
            <a:t>Crear programas que incentiven la atención de la demanda de cuidado, por ejemplo, centros de cuido de niñez en instituciones públicas y en empresas privadas</a:t>
          </a:r>
          <a:r>
            <a:rPr lang="es-SV" sz="800"/>
            <a:t>.</a:t>
          </a:r>
          <a:endParaRPr lang="es-ES" sz="800"/>
        </a:p>
      </dgm:t>
    </dgm:pt>
    <dgm:pt modelId="{42E81156-0F6C-485A-A09D-517421D6D405}" type="parTrans" cxnId="{3D09B3A4-E623-4DDB-B1E6-7F0A1DD96F6C}">
      <dgm:prSet/>
      <dgm:spPr/>
      <dgm:t>
        <a:bodyPr/>
        <a:lstStyle/>
        <a:p>
          <a:endParaRPr lang="es-ES"/>
        </a:p>
      </dgm:t>
    </dgm:pt>
    <dgm:pt modelId="{E2EB9DAF-F20E-4440-930E-A0CF22CFAA3E}" type="sibTrans" cxnId="{3D09B3A4-E623-4DDB-B1E6-7F0A1DD96F6C}">
      <dgm:prSet/>
      <dgm:spPr/>
      <dgm:t>
        <a:bodyPr/>
        <a:lstStyle/>
        <a:p>
          <a:endParaRPr lang="es-ES"/>
        </a:p>
      </dgm:t>
    </dgm:pt>
    <dgm:pt modelId="{4775C14C-11BD-4FB9-B21C-B4B7FD4B4FE0}" type="pres">
      <dgm:prSet presAssocID="{6EAC3C5D-272C-4213-8EBA-1E4C1B6519D7}" presName="diagram" presStyleCnt="0">
        <dgm:presLayoutVars>
          <dgm:dir/>
          <dgm:resizeHandles val="exact"/>
        </dgm:presLayoutVars>
      </dgm:prSet>
      <dgm:spPr/>
    </dgm:pt>
    <dgm:pt modelId="{564F185E-8545-4D69-8C46-6AB9A0F4D5DF}" type="pres">
      <dgm:prSet presAssocID="{DC34BF8F-61B6-4521-9EBD-7F1AB96BAFBD}" presName="node" presStyleLbl="node1" presStyleIdx="0" presStyleCnt="3" custScaleX="107567">
        <dgm:presLayoutVars>
          <dgm:bulletEnabled val="1"/>
        </dgm:presLayoutVars>
      </dgm:prSet>
      <dgm:spPr/>
    </dgm:pt>
    <dgm:pt modelId="{7CF042DA-65D5-4F67-9D73-B1EF1D89AC81}" type="pres">
      <dgm:prSet presAssocID="{AB6DE98F-01B0-4C5A-9ECA-33F468DE35E1}" presName="sibTrans" presStyleLbl="sibTrans2D1" presStyleIdx="0" presStyleCnt="2"/>
      <dgm:spPr/>
    </dgm:pt>
    <dgm:pt modelId="{66AB9FDB-9458-4043-97B6-45CE492C66FF}" type="pres">
      <dgm:prSet presAssocID="{AB6DE98F-01B0-4C5A-9ECA-33F468DE35E1}" presName="connectorText" presStyleLbl="sibTrans2D1" presStyleIdx="0" presStyleCnt="2"/>
      <dgm:spPr/>
    </dgm:pt>
    <dgm:pt modelId="{062CEA49-7A55-4780-81AE-E8ACF0108FCD}" type="pres">
      <dgm:prSet presAssocID="{13AA0C16-710A-40EF-A85A-E5348E698F9E}" presName="node" presStyleLbl="node1" presStyleIdx="1" presStyleCnt="3">
        <dgm:presLayoutVars>
          <dgm:bulletEnabled val="1"/>
        </dgm:presLayoutVars>
      </dgm:prSet>
      <dgm:spPr/>
    </dgm:pt>
    <dgm:pt modelId="{F66B1BC0-2B77-4503-95E6-550AE25B4C43}" type="pres">
      <dgm:prSet presAssocID="{FAB69C71-7016-4435-8E0A-40DDE7C3E4B8}" presName="sibTrans" presStyleLbl="sibTrans2D1" presStyleIdx="1" presStyleCnt="2"/>
      <dgm:spPr/>
    </dgm:pt>
    <dgm:pt modelId="{B811D7C8-D646-4CE9-BB0A-7CE06A7A9CCF}" type="pres">
      <dgm:prSet presAssocID="{FAB69C71-7016-4435-8E0A-40DDE7C3E4B8}" presName="connectorText" presStyleLbl="sibTrans2D1" presStyleIdx="1" presStyleCnt="2"/>
      <dgm:spPr/>
    </dgm:pt>
    <dgm:pt modelId="{7648D438-0F59-41AB-B25F-E1C677375E6F}" type="pres">
      <dgm:prSet presAssocID="{BF0707A8-0F97-4D4C-994C-6E5428237AE0}" presName="node" presStyleLbl="node1" presStyleIdx="2" presStyleCnt="3" custScaleX="125047" custLinFactNeighborX="-3368" custLinFactNeighborY="-662">
        <dgm:presLayoutVars>
          <dgm:bulletEnabled val="1"/>
        </dgm:presLayoutVars>
      </dgm:prSet>
      <dgm:spPr/>
    </dgm:pt>
  </dgm:ptLst>
  <dgm:cxnLst>
    <dgm:cxn modelId="{A030E3F5-898A-4BC6-BB18-AE6BA30563AC}" type="presOf" srcId="{BF0707A8-0F97-4D4C-994C-6E5428237AE0}" destId="{7648D438-0F59-41AB-B25F-E1C677375E6F}" srcOrd="0" destOrd="0" presId="urn:microsoft.com/office/officeart/2005/8/layout/process5"/>
    <dgm:cxn modelId="{DA1560F8-AC84-4696-881B-A8271022D55E}" srcId="{6EAC3C5D-272C-4213-8EBA-1E4C1B6519D7}" destId="{13AA0C16-710A-40EF-A85A-E5348E698F9E}" srcOrd="1" destOrd="0" parTransId="{2977DD03-277E-4595-80BD-A77606F528D8}" sibTransId="{FAB69C71-7016-4435-8E0A-40DDE7C3E4B8}"/>
    <dgm:cxn modelId="{7E068DE1-C61B-488A-8CCC-FDA26F9DD9BD}" type="presOf" srcId="{13AA0C16-710A-40EF-A85A-E5348E698F9E}" destId="{062CEA49-7A55-4780-81AE-E8ACF0108FCD}" srcOrd="0" destOrd="0" presId="urn:microsoft.com/office/officeart/2005/8/layout/process5"/>
    <dgm:cxn modelId="{5BFDE6D5-DEA5-49CC-8676-B3A310AF370A}" srcId="{6EAC3C5D-272C-4213-8EBA-1E4C1B6519D7}" destId="{DC34BF8F-61B6-4521-9EBD-7F1AB96BAFBD}" srcOrd="0" destOrd="0" parTransId="{71106EFD-6F14-4367-A83A-D04DC9762C7D}" sibTransId="{AB6DE98F-01B0-4C5A-9ECA-33F468DE35E1}"/>
    <dgm:cxn modelId="{A8C24A07-CF7B-47E3-AB68-8B0FA08CCCD1}" type="presOf" srcId="{FAB69C71-7016-4435-8E0A-40DDE7C3E4B8}" destId="{F66B1BC0-2B77-4503-95E6-550AE25B4C43}" srcOrd="0" destOrd="0" presId="urn:microsoft.com/office/officeart/2005/8/layout/process5"/>
    <dgm:cxn modelId="{3D09B3A4-E623-4DDB-B1E6-7F0A1DD96F6C}" srcId="{6EAC3C5D-272C-4213-8EBA-1E4C1B6519D7}" destId="{BF0707A8-0F97-4D4C-994C-6E5428237AE0}" srcOrd="2" destOrd="0" parTransId="{42E81156-0F6C-485A-A09D-517421D6D405}" sibTransId="{E2EB9DAF-F20E-4440-930E-A0CF22CFAA3E}"/>
    <dgm:cxn modelId="{C1B244E2-0C2C-42BE-ADDE-D924CAC88EB2}" type="presOf" srcId="{AB6DE98F-01B0-4C5A-9ECA-33F468DE35E1}" destId="{66AB9FDB-9458-4043-97B6-45CE492C66FF}" srcOrd="1" destOrd="0" presId="urn:microsoft.com/office/officeart/2005/8/layout/process5"/>
    <dgm:cxn modelId="{2F37DBDB-F1B9-4821-8EF3-0F19FEA759A6}" type="presOf" srcId="{FAB69C71-7016-4435-8E0A-40DDE7C3E4B8}" destId="{B811D7C8-D646-4CE9-BB0A-7CE06A7A9CCF}" srcOrd="1" destOrd="0" presId="urn:microsoft.com/office/officeart/2005/8/layout/process5"/>
    <dgm:cxn modelId="{C19F3DCC-89D7-40B9-8A28-594D11F63AD3}" type="presOf" srcId="{DC34BF8F-61B6-4521-9EBD-7F1AB96BAFBD}" destId="{564F185E-8545-4D69-8C46-6AB9A0F4D5DF}" srcOrd="0" destOrd="0" presId="urn:microsoft.com/office/officeart/2005/8/layout/process5"/>
    <dgm:cxn modelId="{4CFE47A5-9556-47DF-8BFD-4F62B3CDF87A}" type="presOf" srcId="{AB6DE98F-01B0-4C5A-9ECA-33F468DE35E1}" destId="{7CF042DA-65D5-4F67-9D73-B1EF1D89AC81}" srcOrd="0" destOrd="0" presId="urn:microsoft.com/office/officeart/2005/8/layout/process5"/>
    <dgm:cxn modelId="{6C9255B6-3983-45C0-85E4-B671380D06CA}" type="presOf" srcId="{6EAC3C5D-272C-4213-8EBA-1E4C1B6519D7}" destId="{4775C14C-11BD-4FB9-B21C-B4B7FD4B4FE0}" srcOrd="0" destOrd="0" presId="urn:microsoft.com/office/officeart/2005/8/layout/process5"/>
    <dgm:cxn modelId="{91B3B6BE-57A9-4E99-B3D3-431E03CC743D}" type="presParOf" srcId="{4775C14C-11BD-4FB9-B21C-B4B7FD4B4FE0}" destId="{564F185E-8545-4D69-8C46-6AB9A0F4D5DF}" srcOrd="0" destOrd="0" presId="urn:microsoft.com/office/officeart/2005/8/layout/process5"/>
    <dgm:cxn modelId="{3E74A4C6-B1BE-4BB2-B404-9137504BA81C}" type="presParOf" srcId="{4775C14C-11BD-4FB9-B21C-B4B7FD4B4FE0}" destId="{7CF042DA-65D5-4F67-9D73-B1EF1D89AC81}" srcOrd="1" destOrd="0" presId="urn:microsoft.com/office/officeart/2005/8/layout/process5"/>
    <dgm:cxn modelId="{809E1029-5BC0-4715-81E4-AB777104CE36}" type="presParOf" srcId="{7CF042DA-65D5-4F67-9D73-B1EF1D89AC81}" destId="{66AB9FDB-9458-4043-97B6-45CE492C66FF}" srcOrd="0" destOrd="0" presId="urn:microsoft.com/office/officeart/2005/8/layout/process5"/>
    <dgm:cxn modelId="{4A4F4332-77DE-4539-AB83-B32E867749EB}" type="presParOf" srcId="{4775C14C-11BD-4FB9-B21C-B4B7FD4B4FE0}" destId="{062CEA49-7A55-4780-81AE-E8ACF0108FCD}" srcOrd="2" destOrd="0" presId="urn:microsoft.com/office/officeart/2005/8/layout/process5"/>
    <dgm:cxn modelId="{8802F080-FE25-462E-B4DE-35BE6AACBBF1}" type="presParOf" srcId="{4775C14C-11BD-4FB9-B21C-B4B7FD4B4FE0}" destId="{F66B1BC0-2B77-4503-95E6-550AE25B4C43}" srcOrd="3" destOrd="0" presId="urn:microsoft.com/office/officeart/2005/8/layout/process5"/>
    <dgm:cxn modelId="{53131B6F-FA82-4485-BD10-15C4822ADD8A}" type="presParOf" srcId="{F66B1BC0-2B77-4503-95E6-550AE25B4C43}" destId="{B811D7C8-D646-4CE9-BB0A-7CE06A7A9CCF}" srcOrd="0" destOrd="0" presId="urn:microsoft.com/office/officeart/2005/8/layout/process5"/>
    <dgm:cxn modelId="{D81E4412-EB0D-4BCF-B0E4-99F442CB665F}" type="presParOf" srcId="{4775C14C-11BD-4FB9-B21C-B4B7FD4B4FE0}" destId="{7648D438-0F59-41AB-B25F-E1C677375E6F}" srcOrd="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E12EDE7-2D9B-41FB-AA68-91BC1614594E}" type="doc">
      <dgm:prSet loTypeId="urn:microsoft.com/office/officeart/2005/8/layout/vList2" loCatId="list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s-ES"/>
        </a:p>
      </dgm:t>
    </dgm:pt>
    <dgm:pt modelId="{CC43FAD2-CFCC-4BC3-B1DA-AD97E2545F32}">
      <dgm:prSet phldrT="[Texto]"/>
      <dgm:spPr/>
      <dgm:t>
        <a:bodyPr/>
        <a:lstStyle/>
        <a:p>
          <a:r>
            <a:rPr lang="es-SV"/>
            <a:t>Menor tiempo para el aprendizaje, la especialización, el ocio, la participación social y política o el cuidado personal</a:t>
          </a:r>
          <a:endParaRPr lang="es-ES"/>
        </a:p>
      </dgm:t>
    </dgm:pt>
    <dgm:pt modelId="{4C643C22-B7E7-49FC-9C93-46EAFF03539B}" type="parTrans" cxnId="{1B3A1496-0BD0-4FEB-854D-F267EB81BDE5}">
      <dgm:prSet/>
      <dgm:spPr/>
      <dgm:t>
        <a:bodyPr/>
        <a:lstStyle/>
        <a:p>
          <a:endParaRPr lang="es-ES"/>
        </a:p>
      </dgm:t>
    </dgm:pt>
    <dgm:pt modelId="{3635435F-18D6-4BD2-A9B5-5067EADDB432}" type="sibTrans" cxnId="{1B3A1496-0BD0-4FEB-854D-F267EB81BDE5}">
      <dgm:prSet/>
      <dgm:spPr/>
      <dgm:t>
        <a:bodyPr/>
        <a:lstStyle/>
        <a:p>
          <a:endParaRPr lang="es-ES"/>
        </a:p>
      </dgm:t>
    </dgm:pt>
    <dgm:pt modelId="{DFCF2AA7-E331-43AC-904A-2F7F613ED586}">
      <dgm:prSet phldrT="[Texto]"/>
      <dgm:spPr/>
      <dgm:t>
        <a:bodyPr/>
        <a:lstStyle/>
        <a:p>
          <a:r>
            <a:rPr lang="es-SV"/>
            <a:t>Mayor participación en el trabajo informal, sin protección social</a:t>
          </a:r>
          <a:endParaRPr lang="es-ES"/>
        </a:p>
      </dgm:t>
    </dgm:pt>
    <dgm:pt modelId="{D18163C1-4057-4CB0-83E6-7798B9F0D273}" type="parTrans" cxnId="{FBC8D1AC-8E22-4DDF-9724-64740CBFEA40}">
      <dgm:prSet/>
      <dgm:spPr/>
      <dgm:t>
        <a:bodyPr/>
        <a:lstStyle/>
        <a:p>
          <a:endParaRPr lang="es-ES"/>
        </a:p>
      </dgm:t>
    </dgm:pt>
    <dgm:pt modelId="{EA6A8B8F-9871-4B46-A79E-10C83D191323}" type="sibTrans" cxnId="{FBC8D1AC-8E22-4DDF-9724-64740CBFEA40}">
      <dgm:prSet/>
      <dgm:spPr/>
      <dgm:t>
        <a:bodyPr/>
        <a:lstStyle/>
        <a:p>
          <a:endParaRPr lang="es-ES"/>
        </a:p>
      </dgm:t>
    </dgm:pt>
    <dgm:pt modelId="{ED5F47B5-66F1-4FAC-A0F3-9D7F47E5F908}">
      <dgm:prSet phldrT="[Texto]"/>
      <dgm:spPr/>
      <dgm:t>
        <a:bodyPr/>
        <a:lstStyle/>
        <a:p>
          <a:r>
            <a:rPr lang="es-SV"/>
            <a:t>Mayores obstáculos para avanzar en las carreras educativas y laborales</a:t>
          </a:r>
          <a:endParaRPr lang="es-ES"/>
        </a:p>
      </dgm:t>
    </dgm:pt>
    <dgm:pt modelId="{AEBA082C-631E-44AF-9E0D-F869E98FA456}" type="parTrans" cxnId="{5357C451-C205-41E5-A901-8526B4564C7E}">
      <dgm:prSet/>
      <dgm:spPr/>
      <dgm:t>
        <a:bodyPr/>
        <a:lstStyle/>
        <a:p>
          <a:endParaRPr lang="es-ES"/>
        </a:p>
      </dgm:t>
    </dgm:pt>
    <dgm:pt modelId="{928E9292-B00B-4FF5-B95C-9F27ADABAA23}" type="sibTrans" cxnId="{5357C451-C205-41E5-A901-8526B4564C7E}">
      <dgm:prSet/>
      <dgm:spPr/>
      <dgm:t>
        <a:bodyPr/>
        <a:lstStyle/>
        <a:p>
          <a:endParaRPr lang="es-ES"/>
        </a:p>
      </dgm:t>
    </dgm:pt>
    <dgm:pt modelId="{358CEC04-197A-43E9-9157-8EF3AD9C84E5}">
      <dgm:prSet phldrT="[Texto]"/>
      <dgm:spPr/>
      <dgm:t>
        <a:bodyPr/>
        <a:lstStyle/>
        <a:p>
          <a:r>
            <a:rPr lang="es-SV"/>
            <a:t>Mayores dificultades para insertarse en un trabajo fuera del hogar</a:t>
          </a:r>
          <a:endParaRPr lang="es-ES"/>
        </a:p>
      </dgm:t>
    </dgm:pt>
    <dgm:pt modelId="{5AEF4B9D-CF53-4BD1-8FCB-2DFB1049DC53}" type="parTrans" cxnId="{525B0C2A-00A2-4E12-9266-494921A325EF}">
      <dgm:prSet/>
      <dgm:spPr/>
      <dgm:t>
        <a:bodyPr/>
        <a:lstStyle/>
        <a:p>
          <a:endParaRPr lang="es-ES"/>
        </a:p>
      </dgm:t>
    </dgm:pt>
    <dgm:pt modelId="{466F4E56-65C7-4CB6-A61C-BF2D54109A74}" type="sibTrans" cxnId="{525B0C2A-00A2-4E12-9266-494921A325EF}">
      <dgm:prSet/>
      <dgm:spPr/>
      <dgm:t>
        <a:bodyPr/>
        <a:lstStyle/>
        <a:p>
          <a:endParaRPr lang="es-ES"/>
        </a:p>
      </dgm:t>
    </dgm:pt>
    <dgm:pt modelId="{F555D88A-FE9C-4903-9EB7-CEBA3DDB0E68}" type="pres">
      <dgm:prSet presAssocID="{1E12EDE7-2D9B-41FB-AA68-91BC1614594E}" presName="linear" presStyleCnt="0">
        <dgm:presLayoutVars>
          <dgm:animLvl val="lvl"/>
          <dgm:resizeHandles val="exact"/>
        </dgm:presLayoutVars>
      </dgm:prSet>
      <dgm:spPr/>
    </dgm:pt>
    <dgm:pt modelId="{80346350-9141-4915-8122-6C9C5FEAA22E}" type="pres">
      <dgm:prSet presAssocID="{CC43FAD2-CFCC-4BC3-B1DA-AD97E2545F32}" presName="parentText" presStyleLbl="node1" presStyleIdx="0" presStyleCnt="4">
        <dgm:presLayoutVars>
          <dgm:chMax val="0"/>
          <dgm:bulletEnabled val="1"/>
        </dgm:presLayoutVars>
      </dgm:prSet>
      <dgm:spPr/>
    </dgm:pt>
    <dgm:pt modelId="{607F25E9-4CCD-4268-9C85-D08EB5A85D61}" type="pres">
      <dgm:prSet presAssocID="{3635435F-18D6-4BD2-A9B5-5067EADDB432}" presName="spacer" presStyleCnt="0"/>
      <dgm:spPr/>
    </dgm:pt>
    <dgm:pt modelId="{F9D03071-9799-43F1-9D1B-AD8635D4A768}" type="pres">
      <dgm:prSet presAssocID="{DFCF2AA7-E331-43AC-904A-2F7F613ED586}" presName="parentText" presStyleLbl="node1" presStyleIdx="1" presStyleCnt="4">
        <dgm:presLayoutVars>
          <dgm:chMax val="0"/>
          <dgm:bulletEnabled val="1"/>
        </dgm:presLayoutVars>
      </dgm:prSet>
      <dgm:spPr/>
    </dgm:pt>
    <dgm:pt modelId="{4C4635BD-62F1-47A4-B4BE-D039C16CC064}" type="pres">
      <dgm:prSet presAssocID="{EA6A8B8F-9871-4B46-A79E-10C83D191323}" presName="spacer" presStyleCnt="0"/>
      <dgm:spPr/>
    </dgm:pt>
    <dgm:pt modelId="{16C9A980-CE2B-436C-81EF-EF83D1A57ABE}" type="pres">
      <dgm:prSet presAssocID="{ED5F47B5-66F1-4FAC-A0F3-9D7F47E5F908}" presName="parentText" presStyleLbl="node1" presStyleIdx="2" presStyleCnt="4">
        <dgm:presLayoutVars>
          <dgm:chMax val="0"/>
          <dgm:bulletEnabled val="1"/>
        </dgm:presLayoutVars>
      </dgm:prSet>
      <dgm:spPr/>
    </dgm:pt>
    <dgm:pt modelId="{7BFA879B-856B-475D-AA0E-582C90A3A0BB}" type="pres">
      <dgm:prSet presAssocID="{928E9292-B00B-4FF5-B95C-9F27ADABAA23}" presName="spacer" presStyleCnt="0"/>
      <dgm:spPr/>
    </dgm:pt>
    <dgm:pt modelId="{5EFC4395-812F-4CBA-A8B6-8D75ECA5B728}" type="pres">
      <dgm:prSet presAssocID="{358CEC04-197A-43E9-9157-8EF3AD9C84E5}" presName="parentText" presStyleLbl="node1" presStyleIdx="3" presStyleCnt="4">
        <dgm:presLayoutVars>
          <dgm:chMax val="0"/>
          <dgm:bulletEnabled val="1"/>
        </dgm:presLayoutVars>
      </dgm:prSet>
      <dgm:spPr/>
    </dgm:pt>
  </dgm:ptLst>
  <dgm:cxnLst>
    <dgm:cxn modelId="{5357C451-C205-41E5-A901-8526B4564C7E}" srcId="{1E12EDE7-2D9B-41FB-AA68-91BC1614594E}" destId="{ED5F47B5-66F1-4FAC-A0F3-9D7F47E5F908}" srcOrd="2" destOrd="0" parTransId="{AEBA082C-631E-44AF-9E0D-F869E98FA456}" sibTransId="{928E9292-B00B-4FF5-B95C-9F27ADABAA23}"/>
    <dgm:cxn modelId="{1B3A1496-0BD0-4FEB-854D-F267EB81BDE5}" srcId="{1E12EDE7-2D9B-41FB-AA68-91BC1614594E}" destId="{CC43FAD2-CFCC-4BC3-B1DA-AD97E2545F32}" srcOrd="0" destOrd="0" parTransId="{4C643C22-B7E7-49FC-9C93-46EAFF03539B}" sibTransId="{3635435F-18D6-4BD2-A9B5-5067EADDB432}"/>
    <dgm:cxn modelId="{525B0C2A-00A2-4E12-9266-494921A325EF}" srcId="{1E12EDE7-2D9B-41FB-AA68-91BC1614594E}" destId="{358CEC04-197A-43E9-9157-8EF3AD9C84E5}" srcOrd="3" destOrd="0" parTransId="{5AEF4B9D-CF53-4BD1-8FCB-2DFB1049DC53}" sibTransId="{466F4E56-65C7-4CB6-A61C-BF2D54109A74}"/>
    <dgm:cxn modelId="{F7A81D06-0474-45A3-962B-634B08D4F9A5}" type="presOf" srcId="{ED5F47B5-66F1-4FAC-A0F3-9D7F47E5F908}" destId="{16C9A980-CE2B-436C-81EF-EF83D1A57ABE}" srcOrd="0" destOrd="0" presId="urn:microsoft.com/office/officeart/2005/8/layout/vList2"/>
    <dgm:cxn modelId="{403216E7-E35B-448D-845D-F6EEAA97BA12}" type="presOf" srcId="{CC43FAD2-CFCC-4BC3-B1DA-AD97E2545F32}" destId="{80346350-9141-4915-8122-6C9C5FEAA22E}" srcOrd="0" destOrd="0" presId="urn:microsoft.com/office/officeart/2005/8/layout/vList2"/>
    <dgm:cxn modelId="{FBC8D1AC-8E22-4DDF-9724-64740CBFEA40}" srcId="{1E12EDE7-2D9B-41FB-AA68-91BC1614594E}" destId="{DFCF2AA7-E331-43AC-904A-2F7F613ED586}" srcOrd="1" destOrd="0" parTransId="{D18163C1-4057-4CB0-83E6-7798B9F0D273}" sibTransId="{EA6A8B8F-9871-4B46-A79E-10C83D191323}"/>
    <dgm:cxn modelId="{E6541009-3D59-4C7E-89B1-D1A00316BD8D}" type="presOf" srcId="{358CEC04-197A-43E9-9157-8EF3AD9C84E5}" destId="{5EFC4395-812F-4CBA-A8B6-8D75ECA5B728}" srcOrd="0" destOrd="0" presId="urn:microsoft.com/office/officeart/2005/8/layout/vList2"/>
    <dgm:cxn modelId="{AD5A5C69-0B9F-4D21-B856-D0814BBB7AB8}" type="presOf" srcId="{DFCF2AA7-E331-43AC-904A-2F7F613ED586}" destId="{F9D03071-9799-43F1-9D1B-AD8635D4A768}" srcOrd="0" destOrd="0" presId="urn:microsoft.com/office/officeart/2005/8/layout/vList2"/>
    <dgm:cxn modelId="{5EB5C329-68CD-43CD-9BA5-FF09E22EF341}" type="presOf" srcId="{1E12EDE7-2D9B-41FB-AA68-91BC1614594E}" destId="{F555D88A-FE9C-4903-9EB7-CEBA3DDB0E68}" srcOrd="0" destOrd="0" presId="urn:microsoft.com/office/officeart/2005/8/layout/vList2"/>
    <dgm:cxn modelId="{9BF2B9F7-3E66-47AD-A2B9-83A967C40F69}" type="presParOf" srcId="{F555D88A-FE9C-4903-9EB7-CEBA3DDB0E68}" destId="{80346350-9141-4915-8122-6C9C5FEAA22E}" srcOrd="0" destOrd="0" presId="urn:microsoft.com/office/officeart/2005/8/layout/vList2"/>
    <dgm:cxn modelId="{31F768EC-3E76-48EC-9682-CE0E8A6C85EC}" type="presParOf" srcId="{F555D88A-FE9C-4903-9EB7-CEBA3DDB0E68}" destId="{607F25E9-4CCD-4268-9C85-D08EB5A85D61}" srcOrd="1" destOrd="0" presId="urn:microsoft.com/office/officeart/2005/8/layout/vList2"/>
    <dgm:cxn modelId="{83185095-9365-442A-BC2E-D4FB2B5445E1}" type="presParOf" srcId="{F555D88A-FE9C-4903-9EB7-CEBA3DDB0E68}" destId="{F9D03071-9799-43F1-9D1B-AD8635D4A768}" srcOrd="2" destOrd="0" presId="urn:microsoft.com/office/officeart/2005/8/layout/vList2"/>
    <dgm:cxn modelId="{FECED55F-2F9E-40E3-83C6-D9BFD6D10FD9}" type="presParOf" srcId="{F555D88A-FE9C-4903-9EB7-CEBA3DDB0E68}" destId="{4C4635BD-62F1-47A4-B4BE-D039C16CC064}" srcOrd="3" destOrd="0" presId="urn:microsoft.com/office/officeart/2005/8/layout/vList2"/>
    <dgm:cxn modelId="{20AD8F6D-E70E-4624-B7D8-BD232A691CC4}" type="presParOf" srcId="{F555D88A-FE9C-4903-9EB7-CEBA3DDB0E68}" destId="{16C9A980-CE2B-436C-81EF-EF83D1A57ABE}" srcOrd="4" destOrd="0" presId="urn:microsoft.com/office/officeart/2005/8/layout/vList2"/>
    <dgm:cxn modelId="{EBF62EFC-3626-48CA-AEC8-A1B7645E91D4}" type="presParOf" srcId="{F555D88A-FE9C-4903-9EB7-CEBA3DDB0E68}" destId="{7BFA879B-856B-475D-AA0E-582C90A3A0BB}" srcOrd="5" destOrd="0" presId="urn:microsoft.com/office/officeart/2005/8/layout/vList2"/>
    <dgm:cxn modelId="{AF8DF380-900E-462E-9C96-E16C79B2E961}" type="presParOf" srcId="{F555D88A-FE9C-4903-9EB7-CEBA3DDB0E68}" destId="{5EFC4395-812F-4CBA-A8B6-8D75ECA5B728}" srcOrd="6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222969-FEA7-490C-A864-E4E9FD7BEDB0}">
      <dsp:nvSpPr>
        <dsp:cNvPr id="0" name=""/>
        <dsp:cNvSpPr/>
      </dsp:nvSpPr>
      <dsp:spPr>
        <a:xfrm rot="5400000">
          <a:off x="-131413" y="133657"/>
          <a:ext cx="876092" cy="613264"/>
        </a:xfrm>
        <a:prstGeom prst="chevron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a.</a:t>
          </a:r>
        </a:p>
      </dsp:txBody>
      <dsp:txXfrm rot="-5400000">
        <a:off x="1" y="308875"/>
        <a:ext cx="613264" cy="262828"/>
      </dsp:txXfrm>
    </dsp:sp>
    <dsp:sp modelId="{5FA22DB0-C76E-4F8A-94C3-5156FB8B8581}">
      <dsp:nvSpPr>
        <dsp:cNvPr id="0" name=""/>
        <dsp:cNvSpPr/>
      </dsp:nvSpPr>
      <dsp:spPr>
        <a:xfrm rot="5400000">
          <a:off x="2765102" y="-2149594"/>
          <a:ext cx="569459" cy="48731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just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00" kern="1200"/>
            <a:t>Instalar y mantener salas cunas y lugares de custodia en un lugar anexo e independiente al lugar de trabajo dentro de la misma área geográfica, en tal caso los costos de la contratación del personal capacitado y la habilitación del centro correrán por cuenta del patrono.</a:t>
          </a:r>
          <a:endParaRPr lang="es-ES" sz="1000" kern="1200"/>
        </a:p>
      </dsp:txBody>
      <dsp:txXfrm rot="-5400000">
        <a:off x="613265" y="30042"/>
        <a:ext cx="4845336" cy="513861"/>
      </dsp:txXfrm>
    </dsp:sp>
    <dsp:sp modelId="{4307ED42-4850-4AC0-A72C-038AA45634D4}">
      <dsp:nvSpPr>
        <dsp:cNvPr id="0" name=""/>
        <dsp:cNvSpPr/>
      </dsp:nvSpPr>
      <dsp:spPr>
        <a:xfrm rot="5400000">
          <a:off x="-131413" y="825770"/>
          <a:ext cx="876092" cy="613264"/>
        </a:xfrm>
        <a:prstGeom prst="chevron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b.</a:t>
          </a:r>
        </a:p>
      </dsp:txBody>
      <dsp:txXfrm rot="-5400000">
        <a:off x="1" y="1000988"/>
        <a:ext cx="613264" cy="262828"/>
      </dsp:txXfrm>
    </dsp:sp>
    <dsp:sp modelId="{12CC2A58-E837-47D8-BD76-36E27A57E33D}">
      <dsp:nvSpPr>
        <dsp:cNvPr id="0" name=""/>
        <dsp:cNvSpPr/>
      </dsp:nvSpPr>
      <dsp:spPr>
        <a:xfrm rot="5400000">
          <a:off x="2765102" y="-1457481"/>
          <a:ext cx="569459" cy="48731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00" kern="1200"/>
            <a:t>Por medio de la instalación y mantenimiento de un centro común de salas cunas y lugar de custodia, que sea costeado por varias empresas o establecimientos de trabajo.</a:t>
          </a:r>
          <a:endParaRPr lang="es-ES" sz="1000" kern="1200"/>
        </a:p>
      </dsp:txBody>
      <dsp:txXfrm rot="-5400000">
        <a:off x="613265" y="722155"/>
        <a:ext cx="4845336" cy="513861"/>
      </dsp:txXfrm>
    </dsp:sp>
    <dsp:sp modelId="{6B3A51E5-E57C-4C68-A407-CFF23E8A9483}">
      <dsp:nvSpPr>
        <dsp:cNvPr id="0" name=""/>
        <dsp:cNvSpPr/>
      </dsp:nvSpPr>
      <dsp:spPr>
        <a:xfrm rot="5400000">
          <a:off x="-131413" y="1517882"/>
          <a:ext cx="876092" cy="613264"/>
        </a:xfrm>
        <a:prstGeom prst="chevron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795" tIns="10795" rIns="10795" bIns="10795" numCol="1" spcCol="1270" anchor="ctr" anchorCtr="0">
          <a:noAutofit/>
        </a:bodyPr>
        <a:lstStyle/>
        <a:p>
          <a:pPr lvl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ES" sz="1700" kern="1200"/>
            <a:t>c.</a:t>
          </a:r>
        </a:p>
      </dsp:txBody>
      <dsp:txXfrm rot="-5400000">
        <a:off x="1" y="1693100"/>
        <a:ext cx="613264" cy="262828"/>
      </dsp:txXfrm>
    </dsp:sp>
    <dsp:sp modelId="{7A90DBD2-E5CD-446B-ADD6-3EAE0B469A8B}">
      <dsp:nvSpPr>
        <dsp:cNvPr id="0" name=""/>
        <dsp:cNvSpPr/>
      </dsp:nvSpPr>
      <dsp:spPr>
        <a:xfrm rot="5400000">
          <a:off x="2765102" y="-765368"/>
          <a:ext cx="569459" cy="487313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SV" sz="1000" kern="1200"/>
            <a:t>A través del pago de las salas cunas y lugares de custodia que presten tales servicios con carácter independiente a la empresa o establecimiento de trabajo, de forma profesional y habitual, que decida el patrono.</a:t>
          </a:r>
          <a:endParaRPr lang="es-ES" sz="1000" kern="1200"/>
        </a:p>
      </dsp:txBody>
      <dsp:txXfrm rot="-5400000">
        <a:off x="613265" y="1414268"/>
        <a:ext cx="4845336" cy="51386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4F185E-8545-4D69-8C46-6AB9A0F4D5DF}">
      <dsp:nvSpPr>
        <dsp:cNvPr id="0" name=""/>
        <dsp:cNvSpPr/>
      </dsp:nvSpPr>
      <dsp:spPr>
        <a:xfrm>
          <a:off x="2031" y="141714"/>
          <a:ext cx="1511169" cy="8429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Creación de empleo decente, dar continuidad a la Política Nacional de Fomento, Diversificación y Transformación Productiva de El Salvador</a:t>
          </a:r>
          <a:endParaRPr lang="es-ES" sz="1000" kern="1200"/>
        </a:p>
      </dsp:txBody>
      <dsp:txXfrm>
        <a:off x="26719" y="166402"/>
        <a:ext cx="1461793" cy="793541"/>
      </dsp:txXfrm>
    </dsp:sp>
    <dsp:sp modelId="{7CF042DA-65D5-4F67-9D73-B1EF1D89AC81}">
      <dsp:nvSpPr>
        <dsp:cNvPr id="0" name=""/>
        <dsp:cNvSpPr/>
      </dsp:nvSpPr>
      <dsp:spPr>
        <a:xfrm>
          <a:off x="1636828" y="388970"/>
          <a:ext cx="297830" cy="3484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1636828" y="458651"/>
        <a:ext cx="208481" cy="209044"/>
      </dsp:txXfrm>
    </dsp:sp>
    <dsp:sp modelId="{062CEA49-7A55-4780-81AE-E8ACF0108FCD}">
      <dsp:nvSpPr>
        <dsp:cNvPr id="0" name=""/>
        <dsp:cNvSpPr/>
      </dsp:nvSpPr>
      <dsp:spPr>
        <a:xfrm>
          <a:off x="2075145" y="141714"/>
          <a:ext cx="1404863" cy="8429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Fomentar creación de puestos de trabajo que faciliten el acceso a la seguridad social</a:t>
          </a:r>
          <a:endParaRPr lang="es-ES" sz="1000" kern="1200"/>
        </a:p>
      </dsp:txBody>
      <dsp:txXfrm>
        <a:off x="2099833" y="166402"/>
        <a:ext cx="1355487" cy="793541"/>
      </dsp:txXfrm>
    </dsp:sp>
    <dsp:sp modelId="{F66B1BC0-2B77-4503-95E6-550AE25B4C43}">
      <dsp:nvSpPr>
        <dsp:cNvPr id="0" name=""/>
        <dsp:cNvSpPr/>
      </dsp:nvSpPr>
      <dsp:spPr>
        <a:xfrm rot="21590845">
          <a:off x="3593227" y="386435"/>
          <a:ext cx="272754" cy="348406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ES" sz="1400" kern="1200"/>
        </a:p>
      </dsp:txBody>
      <dsp:txXfrm>
        <a:off x="3593227" y="456225"/>
        <a:ext cx="190928" cy="209044"/>
      </dsp:txXfrm>
    </dsp:sp>
    <dsp:sp modelId="{7648D438-0F59-41AB-B25F-E1C677375E6F}">
      <dsp:nvSpPr>
        <dsp:cNvPr id="0" name=""/>
        <dsp:cNvSpPr/>
      </dsp:nvSpPr>
      <dsp:spPr>
        <a:xfrm>
          <a:off x="3994638" y="136134"/>
          <a:ext cx="1756739" cy="84291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>
          <a:outerShdw blurRad="57150" dist="19050" dir="5400000" algn="ctr" rotWithShape="0">
            <a:srgbClr val="000000">
              <a:alpha val="63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1000" kern="1200"/>
            <a:t>Crear programas que incentiven la atención de la demanda de cuidado, por ejemplo, centros de cuido de niñez en instituciones públicas y en empresas privadas</a:t>
          </a:r>
          <a:r>
            <a:rPr lang="es-SV" sz="800" kern="1200"/>
            <a:t>.</a:t>
          </a:r>
          <a:endParaRPr lang="es-ES" sz="800" kern="1200"/>
        </a:p>
      </dsp:txBody>
      <dsp:txXfrm>
        <a:off x="4019326" y="160822"/>
        <a:ext cx="1707363" cy="79354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0346350-9141-4915-8122-6C9C5FEAA22E}">
      <dsp:nvSpPr>
        <dsp:cNvPr id="0" name=""/>
        <dsp:cNvSpPr/>
      </dsp:nvSpPr>
      <dsp:spPr>
        <a:xfrm>
          <a:off x="0" y="56229"/>
          <a:ext cx="5649901" cy="215865"/>
        </a:xfrm>
        <a:prstGeom prst="round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Menor tiempo para el aprendizaje, la especialización, el ocio, la participación social y política o el cuidado personal</a:t>
          </a:r>
          <a:endParaRPr lang="es-ES" sz="900" kern="1200"/>
        </a:p>
      </dsp:txBody>
      <dsp:txXfrm>
        <a:off x="10538" y="66767"/>
        <a:ext cx="5628825" cy="194789"/>
      </dsp:txXfrm>
    </dsp:sp>
    <dsp:sp modelId="{F9D03071-9799-43F1-9D1B-AD8635D4A768}">
      <dsp:nvSpPr>
        <dsp:cNvPr id="0" name=""/>
        <dsp:cNvSpPr/>
      </dsp:nvSpPr>
      <dsp:spPr>
        <a:xfrm>
          <a:off x="0" y="298014"/>
          <a:ext cx="5649901" cy="215865"/>
        </a:xfrm>
        <a:prstGeom prst="roundRect">
          <a:avLst/>
        </a:prstGeom>
        <a:gradFill rotWithShape="0">
          <a:gsLst>
            <a:gs pos="0">
              <a:schemeClr val="accent3">
                <a:hueOff val="903533"/>
                <a:satOff val="33333"/>
                <a:lumOff val="-4902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903533"/>
                <a:satOff val="33333"/>
                <a:lumOff val="-4902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903533"/>
                <a:satOff val="33333"/>
                <a:lumOff val="-4902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Mayor participación en el trabajo informal, sin protección social</a:t>
          </a:r>
          <a:endParaRPr lang="es-ES" sz="900" kern="1200"/>
        </a:p>
      </dsp:txBody>
      <dsp:txXfrm>
        <a:off x="10538" y="308552"/>
        <a:ext cx="5628825" cy="194789"/>
      </dsp:txXfrm>
    </dsp:sp>
    <dsp:sp modelId="{16C9A980-CE2B-436C-81EF-EF83D1A57ABE}">
      <dsp:nvSpPr>
        <dsp:cNvPr id="0" name=""/>
        <dsp:cNvSpPr/>
      </dsp:nvSpPr>
      <dsp:spPr>
        <a:xfrm>
          <a:off x="0" y="539799"/>
          <a:ext cx="5649901" cy="215865"/>
        </a:xfrm>
        <a:prstGeom prst="roundRect">
          <a:avLst/>
        </a:prstGeom>
        <a:gradFill rotWithShape="0">
          <a:gsLst>
            <a:gs pos="0">
              <a:schemeClr val="accent3">
                <a:hueOff val="1807066"/>
                <a:satOff val="66667"/>
                <a:lumOff val="-9804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1807066"/>
                <a:satOff val="66667"/>
                <a:lumOff val="-9804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1807066"/>
                <a:satOff val="66667"/>
                <a:lumOff val="-9804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Mayores obstáculos para avanzar en las carreras educativas y laborales</a:t>
          </a:r>
          <a:endParaRPr lang="es-ES" sz="900" kern="1200"/>
        </a:p>
      </dsp:txBody>
      <dsp:txXfrm>
        <a:off x="10538" y="550337"/>
        <a:ext cx="5628825" cy="194789"/>
      </dsp:txXfrm>
    </dsp:sp>
    <dsp:sp modelId="{5EFC4395-812F-4CBA-A8B6-8D75ECA5B728}">
      <dsp:nvSpPr>
        <dsp:cNvPr id="0" name=""/>
        <dsp:cNvSpPr/>
      </dsp:nvSpPr>
      <dsp:spPr>
        <a:xfrm>
          <a:off x="0" y="781584"/>
          <a:ext cx="5649901" cy="215865"/>
        </a:xfrm>
        <a:prstGeom prst="roundRect">
          <a:avLst/>
        </a:prstGeom>
        <a:gradFill rotWithShape="0">
          <a:gsLst>
            <a:gs pos="0">
              <a:schemeClr val="accent3">
                <a:hueOff val="2710599"/>
                <a:satOff val="100000"/>
                <a:lumOff val="-14706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2710599"/>
                <a:satOff val="100000"/>
                <a:lumOff val="-14706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2710599"/>
                <a:satOff val="100000"/>
                <a:lumOff val="-14706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lvl="0" algn="l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900" kern="1200"/>
            <a:t>Mayores dificultades para insertarse en un trabajo fuera del hogar</a:t>
          </a:r>
          <a:endParaRPr lang="es-ES" sz="900" kern="1200"/>
        </a:p>
      </dsp:txBody>
      <dsp:txXfrm>
        <a:off x="10538" y="792122"/>
        <a:ext cx="5628825" cy="1947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1F40C-90D0-47D8-9ABA-3C0922AE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7</Pages>
  <Words>1176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Irania Ormursa</dc:creator>
  <cp:keywords/>
  <dc:description/>
  <cp:lastModifiedBy>vilma vaquerano</cp:lastModifiedBy>
  <cp:revision>261</cp:revision>
  <dcterms:created xsi:type="dcterms:W3CDTF">2020-12-22T06:04:00Z</dcterms:created>
  <dcterms:modified xsi:type="dcterms:W3CDTF">2020-12-23T22:37:00Z</dcterms:modified>
</cp:coreProperties>
</file>